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960" w:type="dxa"/>
        <w:jc w:val="center"/>
        <w:tblLook w:val="04A0" w:firstRow="1" w:lastRow="0" w:firstColumn="1" w:lastColumn="0" w:noHBand="0" w:noVBand="1"/>
      </w:tblPr>
      <w:tblGrid>
        <w:gridCol w:w="1461"/>
        <w:gridCol w:w="2616"/>
        <w:gridCol w:w="1883"/>
      </w:tblGrid>
      <w:tr w:rsidR="00A114D4" w:rsidRPr="0026007F" w14:paraId="6F6B28A8" w14:textId="77777777" w:rsidTr="00B67B02">
        <w:trPr>
          <w:trHeight w:val="1480"/>
          <w:jc w:val="center"/>
        </w:trPr>
        <w:tc>
          <w:tcPr>
            <w:tcW w:w="1461" w:type="dxa"/>
            <w:tcBorders>
              <w:top w:val="nil"/>
              <w:left w:val="nil"/>
              <w:bottom w:val="nil"/>
              <w:right w:val="nil"/>
            </w:tcBorders>
            <w:vAlign w:val="center"/>
          </w:tcPr>
          <w:p w14:paraId="6FF55BE3" w14:textId="77777777" w:rsidR="00A114D4" w:rsidRPr="0026007F" w:rsidRDefault="00A114D4" w:rsidP="00B67B02">
            <w:pPr>
              <w:spacing w:after="0" w:line="240" w:lineRule="auto"/>
              <w:jc w:val="center"/>
              <w:rPr>
                <w:rFonts w:ascii="Arial" w:hAnsi="Arial" w:cs="Arial"/>
                <w:b/>
                <w:bCs/>
                <w:color w:val="144C7C"/>
                <w:sz w:val="120"/>
                <w:szCs w:val="120"/>
                <w:lang w:eastAsia="en-GB"/>
              </w:rPr>
            </w:pPr>
            <w:r w:rsidRPr="0026007F">
              <w:rPr>
                <w:noProof/>
              </w:rPr>
              <w:drawing>
                <wp:inline distT="0" distB="0" distL="0" distR="0" wp14:anchorId="711E2A2D" wp14:editId="2D44E5CD">
                  <wp:extent cx="790981" cy="762935"/>
                  <wp:effectExtent l="0" t="0" r="0" b="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790981" cy="762935"/>
                          </a:xfrm>
                          <a:prstGeom prst="rect">
                            <a:avLst/>
                          </a:prstGeom>
                        </pic:spPr>
                      </pic:pic>
                    </a:graphicData>
                  </a:graphic>
                </wp:inline>
              </w:drawing>
            </w:r>
          </w:p>
        </w:tc>
        <w:tc>
          <w:tcPr>
            <w:tcW w:w="2616" w:type="dxa"/>
            <w:tcBorders>
              <w:top w:val="nil"/>
              <w:left w:val="nil"/>
              <w:bottom w:val="nil"/>
              <w:right w:val="nil"/>
            </w:tcBorders>
            <w:shd w:val="clear" w:color="auto" w:fill="auto"/>
            <w:noWrap/>
            <w:vAlign w:val="center"/>
            <w:hideMark/>
          </w:tcPr>
          <w:p w14:paraId="32D30E6C" w14:textId="77777777" w:rsidR="00A114D4" w:rsidRPr="0026007F" w:rsidRDefault="00A114D4" w:rsidP="00B67B02">
            <w:pPr>
              <w:spacing w:after="0" w:line="240" w:lineRule="auto"/>
              <w:jc w:val="center"/>
              <w:rPr>
                <w:rFonts w:ascii="Arial" w:hAnsi="Arial" w:cs="Arial"/>
                <w:b/>
                <w:bCs/>
                <w:color w:val="144C7C"/>
                <w:sz w:val="120"/>
                <w:szCs w:val="120"/>
                <w:lang w:eastAsia="en-GB"/>
              </w:rPr>
            </w:pPr>
            <w:r w:rsidRPr="0026007F">
              <w:rPr>
                <w:rFonts w:ascii="Arial" w:hAnsi="Arial" w:cs="Arial"/>
                <w:b/>
                <w:bCs/>
                <w:color w:val="144C7C"/>
                <w:sz w:val="120"/>
                <w:szCs w:val="120"/>
                <w:lang w:eastAsia="en-GB"/>
              </w:rPr>
              <w:t>ENT</w:t>
            </w:r>
          </w:p>
        </w:tc>
        <w:tc>
          <w:tcPr>
            <w:tcW w:w="1883" w:type="dxa"/>
            <w:tcBorders>
              <w:top w:val="nil"/>
              <w:left w:val="nil"/>
              <w:bottom w:val="nil"/>
              <w:right w:val="nil"/>
            </w:tcBorders>
            <w:shd w:val="clear" w:color="auto" w:fill="auto"/>
            <w:noWrap/>
            <w:vAlign w:val="center"/>
            <w:hideMark/>
          </w:tcPr>
          <w:p w14:paraId="65DD21EB" w14:textId="77777777" w:rsidR="00A114D4" w:rsidRPr="0026007F" w:rsidRDefault="00A114D4" w:rsidP="00B67B02">
            <w:pPr>
              <w:spacing w:after="0" w:line="240" w:lineRule="auto"/>
              <w:jc w:val="center"/>
              <w:rPr>
                <w:rFonts w:ascii="Arial" w:hAnsi="Arial" w:cs="Arial"/>
                <w:color w:val="5EA1D2"/>
                <w:sz w:val="120"/>
                <w:szCs w:val="120"/>
                <w:lang w:eastAsia="en-GB"/>
              </w:rPr>
            </w:pPr>
            <w:r w:rsidRPr="0026007F">
              <w:rPr>
                <w:rFonts w:ascii="Arial" w:hAnsi="Arial" w:cs="Arial"/>
                <w:color w:val="5EA1D2"/>
                <w:sz w:val="120"/>
                <w:szCs w:val="120"/>
                <w:lang w:eastAsia="en-GB"/>
              </w:rPr>
              <w:t>UK</w:t>
            </w:r>
          </w:p>
        </w:tc>
      </w:tr>
    </w:tbl>
    <w:p w14:paraId="7D03B1A2" w14:textId="77777777" w:rsidR="00A114D4" w:rsidRDefault="00A114D4" w:rsidP="00A114D4"/>
    <w:p w14:paraId="11C296C1" w14:textId="77777777" w:rsidR="00A114D4" w:rsidRPr="0026007F" w:rsidRDefault="00A114D4" w:rsidP="00A114D4">
      <w:pPr>
        <w:pBdr>
          <w:top w:val="single" w:sz="18" w:space="1" w:color="5DA1D2"/>
          <w:bottom w:val="single" w:sz="18" w:space="1" w:color="5DA1D2"/>
        </w:pBdr>
        <w:spacing w:line="720" w:lineRule="exact"/>
        <w:jc w:val="left"/>
        <w:rPr>
          <w:rFonts w:ascii="London Tube" w:eastAsiaTheme="majorEastAsia" w:hAnsi="London Tube" w:cs="Times New Roman (Headings CS)"/>
          <w:b/>
          <w:smallCaps/>
          <w:color w:val="174B7D"/>
          <w:spacing w:val="-10"/>
          <w:kern w:val="28"/>
          <w:sz w:val="60"/>
          <w:szCs w:val="60"/>
        </w:rPr>
      </w:pPr>
      <w:r w:rsidRPr="0026007F">
        <w:rPr>
          <w:rFonts w:ascii="London Tube" w:eastAsiaTheme="majorEastAsia" w:hAnsi="London Tube" w:cs="Times New Roman (Headings CS)"/>
          <w:b/>
          <w:smallCaps/>
          <w:color w:val="174B7D"/>
          <w:spacing w:val="-10"/>
          <w:kern w:val="28"/>
          <w:sz w:val="60"/>
          <w:szCs w:val="60"/>
        </w:rPr>
        <w:t>2 week wait telephone triage: service evaluation</w:t>
      </w:r>
    </w:p>
    <w:p w14:paraId="778636D8" w14:textId="77777777" w:rsidR="0026007F" w:rsidRPr="00AA79AC" w:rsidRDefault="0026007F" w:rsidP="000A57A3"/>
    <w:tbl>
      <w:tblPr>
        <w:tblStyle w:val="TableGrid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485"/>
        <w:gridCol w:w="485"/>
        <w:gridCol w:w="5705"/>
      </w:tblGrid>
      <w:tr w:rsidR="0026007F" w:rsidRPr="00E90DD7" w14:paraId="4FD6BAA8" w14:textId="77777777" w:rsidTr="00745678">
        <w:tc>
          <w:tcPr>
            <w:tcW w:w="1972" w:type="dxa"/>
          </w:tcPr>
          <w:p w14:paraId="72F2FFD1" w14:textId="77777777" w:rsidR="0026007F" w:rsidRPr="00EF22C8" w:rsidRDefault="0026007F" w:rsidP="000A57A3">
            <w:pPr>
              <w:pStyle w:val="NoSpacing"/>
              <w:rPr>
                <w:rStyle w:val="Strong"/>
              </w:rPr>
            </w:pPr>
            <w:r w:rsidRPr="00EF22C8">
              <w:rPr>
                <w:rStyle w:val="Strong"/>
              </w:rPr>
              <w:t>Protocol version:</w:t>
            </w:r>
          </w:p>
        </w:tc>
        <w:tc>
          <w:tcPr>
            <w:tcW w:w="485" w:type="dxa"/>
            <w:tcBorders>
              <w:right w:val="single" w:sz="18" w:space="0" w:color="5DA1D2"/>
            </w:tcBorders>
          </w:tcPr>
          <w:p w14:paraId="6F4CDECC" w14:textId="77777777" w:rsidR="0026007F" w:rsidRPr="00E90DD7" w:rsidRDefault="0026007F" w:rsidP="000A57A3">
            <w:pPr>
              <w:pStyle w:val="NoSpacing"/>
            </w:pPr>
          </w:p>
        </w:tc>
        <w:tc>
          <w:tcPr>
            <w:tcW w:w="485" w:type="dxa"/>
            <w:tcBorders>
              <w:left w:val="single" w:sz="18" w:space="0" w:color="5DA1D2"/>
            </w:tcBorders>
          </w:tcPr>
          <w:p w14:paraId="730C2B45" w14:textId="77777777" w:rsidR="0026007F" w:rsidRPr="00E90DD7" w:rsidRDefault="0026007F" w:rsidP="000A57A3">
            <w:pPr>
              <w:pStyle w:val="NoSpacing"/>
            </w:pPr>
          </w:p>
        </w:tc>
        <w:tc>
          <w:tcPr>
            <w:tcW w:w="5705" w:type="dxa"/>
          </w:tcPr>
          <w:p w14:paraId="34E4FD50" w14:textId="21E82FA6" w:rsidR="0026007F" w:rsidRPr="00AA79AC" w:rsidRDefault="00CC479F" w:rsidP="000A57A3">
            <w:pPr>
              <w:pStyle w:val="NoSpacing"/>
            </w:pPr>
            <w:r>
              <w:t>1.</w:t>
            </w:r>
            <w:r w:rsidR="00A77BB9">
              <w:t>2</w:t>
            </w:r>
          </w:p>
        </w:tc>
      </w:tr>
      <w:tr w:rsidR="00C074C1" w:rsidRPr="00E90DD7" w14:paraId="2F251C07" w14:textId="77777777" w:rsidTr="00745678">
        <w:tc>
          <w:tcPr>
            <w:tcW w:w="1972" w:type="dxa"/>
          </w:tcPr>
          <w:p w14:paraId="0D6675C6" w14:textId="77777777" w:rsidR="00C074C1" w:rsidRPr="00EF22C8" w:rsidRDefault="00C074C1" w:rsidP="000A57A3">
            <w:pPr>
              <w:pStyle w:val="NoSpacing"/>
              <w:rPr>
                <w:rStyle w:val="Strong"/>
              </w:rPr>
            </w:pPr>
          </w:p>
        </w:tc>
        <w:tc>
          <w:tcPr>
            <w:tcW w:w="485" w:type="dxa"/>
            <w:tcBorders>
              <w:right w:val="single" w:sz="18" w:space="0" w:color="5DA1D2"/>
            </w:tcBorders>
          </w:tcPr>
          <w:p w14:paraId="2EC0E5BA" w14:textId="77777777" w:rsidR="00C074C1" w:rsidRPr="00E90DD7" w:rsidRDefault="00C074C1" w:rsidP="000A57A3">
            <w:pPr>
              <w:pStyle w:val="NoSpacing"/>
            </w:pPr>
          </w:p>
        </w:tc>
        <w:tc>
          <w:tcPr>
            <w:tcW w:w="485" w:type="dxa"/>
            <w:tcBorders>
              <w:left w:val="single" w:sz="18" w:space="0" w:color="5DA1D2"/>
            </w:tcBorders>
          </w:tcPr>
          <w:p w14:paraId="3939DE46" w14:textId="77777777" w:rsidR="00C074C1" w:rsidRPr="00E90DD7" w:rsidRDefault="00C074C1" w:rsidP="000A57A3">
            <w:pPr>
              <w:pStyle w:val="NoSpacing"/>
            </w:pPr>
          </w:p>
        </w:tc>
        <w:tc>
          <w:tcPr>
            <w:tcW w:w="5705" w:type="dxa"/>
          </w:tcPr>
          <w:p w14:paraId="7C10E4C4" w14:textId="77777777" w:rsidR="00C074C1" w:rsidRDefault="00C074C1" w:rsidP="000A57A3">
            <w:pPr>
              <w:pStyle w:val="NoSpacing"/>
            </w:pPr>
          </w:p>
        </w:tc>
      </w:tr>
      <w:tr w:rsidR="0026007F" w:rsidRPr="00E90DD7" w14:paraId="346B604D" w14:textId="77777777" w:rsidTr="00745678">
        <w:tc>
          <w:tcPr>
            <w:tcW w:w="1972" w:type="dxa"/>
          </w:tcPr>
          <w:p w14:paraId="7BC39BA4" w14:textId="77777777" w:rsidR="0026007F" w:rsidRPr="00EF22C8" w:rsidRDefault="0026007F" w:rsidP="000A57A3">
            <w:pPr>
              <w:pStyle w:val="NoSpacing"/>
              <w:rPr>
                <w:rStyle w:val="Strong"/>
              </w:rPr>
            </w:pPr>
            <w:r w:rsidRPr="00EF22C8">
              <w:rPr>
                <w:rStyle w:val="Strong"/>
              </w:rPr>
              <w:t>Date:</w:t>
            </w:r>
          </w:p>
        </w:tc>
        <w:tc>
          <w:tcPr>
            <w:tcW w:w="485" w:type="dxa"/>
            <w:tcBorders>
              <w:right w:val="single" w:sz="18" w:space="0" w:color="5DA1D2"/>
            </w:tcBorders>
          </w:tcPr>
          <w:p w14:paraId="1A36CFE7" w14:textId="77777777" w:rsidR="0026007F" w:rsidRPr="00E90DD7" w:rsidRDefault="0026007F" w:rsidP="000A57A3">
            <w:pPr>
              <w:pStyle w:val="NoSpacing"/>
            </w:pPr>
          </w:p>
        </w:tc>
        <w:tc>
          <w:tcPr>
            <w:tcW w:w="485" w:type="dxa"/>
            <w:tcBorders>
              <w:left w:val="single" w:sz="18" w:space="0" w:color="5DA1D2"/>
            </w:tcBorders>
          </w:tcPr>
          <w:p w14:paraId="43D284FE" w14:textId="77777777" w:rsidR="0026007F" w:rsidRPr="00E90DD7" w:rsidRDefault="0026007F" w:rsidP="000A57A3">
            <w:pPr>
              <w:pStyle w:val="NoSpacing"/>
            </w:pPr>
          </w:p>
        </w:tc>
        <w:tc>
          <w:tcPr>
            <w:tcW w:w="5705" w:type="dxa"/>
          </w:tcPr>
          <w:p w14:paraId="7E44E753" w14:textId="39CBBAF8" w:rsidR="0026007F" w:rsidRPr="00DF195C" w:rsidRDefault="00A77BB9" w:rsidP="000A57A3">
            <w:pPr>
              <w:pStyle w:val="NoSpacing"/>
            </w:pPr>
            <w:r>
              <w:t>19</w:t>
            </w:r>
            <w:r w:rsidRPr="00A77BB9">
              <w:rPr>
                <w:vertAlign w:val="superscript"/>
              </w:rPr>
              <w:t>th</w:t>
            </w:r>
            <w:r>
              <w:t xml:space="preserve"> March </w:t>
            </w:r>
            <w:r w:rsidR="0026007F">
              <w:t>202</w:t>
            </w:r>
            <w:r>
              <w:t>1</w:t>
            </w:r>
          </w:p>
        </w:tc>
      </w:tr>
      <w:tr w:rsidR="0026007F" w:rsidRPr="00E90DD7" w14:paraId="1FAE7372" w14:textId="77777777" w:rsidTr="00745678">
        <w:tc>
          <w:tcPr>
            <w:tcW w:w="1972" w:type="dxa"/>
          </w:tcPr>
          <w:p w14:paraId="165A3B46" w14:textId="77777777" w:rsidR="0026007F" w:rsidRPr="00EF22C8" w:rsidRDefault="0026007F" w:rsidP="000A57A3">
            <w:pPr>
              <w:pStyle w:val="NoSpacing"/>
              <w:rPr>
                <w:rStyle w:val="Strong"/>
              </w:rPr>
            </w:pPr>
          </w:p>
        </w:tc>
        <w:tc>
          <w:tcPr>
            <w:tcW w:w="485" w:type="dxa"/>
            <w:tcBorders>
              <w:right w:val="single" w:sz="18" w:space="0" w:color="5DA1D2"/>
            </w:tcBorders>
          </w:tcPr>
          <w:p w14:paraId="1EA0A2FB" w14:textId="77777777" w:rsidR="0026007F" w:rsidRPr="00E90DD7" w:rsidRDefault="0026007F" w:rsidP="000A57A3">
            <w:pPr>
              <w:pStyle w:val="NoSpacing"/>
            </w:pPr>
          </w:p>
        </w:tc>
        <w:tc>
          <w:tcPr>
            <w:tcW w:w="485" w:type="dxa"/>
            <w:tcBorders>
              <w:left w:val="single" w:sz="18" w:space="0" w:color="5DA1D2"/>
            </w:tcBorders>
          </w:tcPr>
          <w:p w14:paraId="139933A7" w14:textId="77777777" w:rsidR="0026007F" w:rsidRPr="00E90DD7" w:rsidRDefault="0026007F" w:rsidP="000A57A3">
            <w:pPr>
              <w:pStyle w:val="NoSpacing"/>
            </w:pPr>
          </w:p>
        </w:tc>
        <w:tc>
          <w:tcPr>
            <w:tcW w:w="5705" w:type="dxa"/>
          </w:tcPr>
          <w:p w14:paraId="775F578B" w14:textId="77777777" w:rsidR="0026007F" w:rsidRPr="00AA79AC" w:rsidRDefault="0026007F" w:rsidP="000A57A3">
            <w:pPr>
              <w:pStyle w:val="NoSpacing"/>
            </w:pPr>
          </w:p>
        </w:tc>
      </w:tr>
      <w:tr w:rsidR="0026007F" w:rsidRPr="00E90DD7" w14:paraId="341DB065" w14:textId="77777777" w:rsidTr="00745678">
        <w:tc>
          <w:tcPr>
            <w:tcW w:w="1972" w:type="dxa"/>
          </w:tcPr>
          <w:p w14:paraId="7657A606" w14:textId="339381AD" w:rsidR="0026007F" w:rsidRPr="00EF22C8" w:rsidRDefault="0026007F" w:rsidP="000A57A3">
            <w:pPr>
              <w:pStyle w:val="NoSpacing"/>
              <w:rPr>
                <w:rStyle w:val="Strong"/>
              </w:rPr>
            </w:pPr>
            <w:r w:rsidRPr="00EF22C8">
              <w:rPr>
                <w:rStyle w:val="Strong"/>
              </w:rPr>
              <w:t>Address:</w:t>
            </w:r>
          </w:p>
        </w:tc>
        <w:tc>
          <w:tcPr>
            <w:tcW w:w="485" w:type="dxa"/>
            <w:tcBorders>
              <w:right w:val="single" w:sz="18" w:space="0" w:color="5DA1D2"/>
            </w:tcBorders>
          </w:tcPr>
          <w:p w14:paraId="1B89222D" w14:textId="77777777" w:rsidR="0026007F" w:rsidRPr="00E90DD7" w:rsidRDefault="0026007F" w:rsidP="000A57A3">
            <w:pPr>
              <w:pStyle w:val="NoSpacing"/>
            </w:pPr>
          </w:p>
        </w:tc>
        <w:tc>
          <w:tcPr>
            <w:tcW w:w="485" w:type="dxa"/>
            <w:tcBorders>
              <w:left w:val="single" w:sz="18" w:space="0" w:color="5DA1D2"/>
            </w:tcBorders>
          </w:tcPr>
          <w:p w14:paraId="76F0E4B2" w14:textId="77777777" w:rsidR="0026007F" w:rsidRPr="00E90DD7" w:rsidRDefault="0026007F" w:rsidP="000A57A3">
            <w:pPr>
              <w:pStyle w:val="NoSpacing"/>
            </w:pPr>
          </w:p>
        </w:tc>
        <w:tc>
          <w:tcPr>
            <w:tcW w:w="5705" w:type="dxa"/>
          </w:tcPr>
          <w:p w14:paraId="12828464" w14:textId="12323CDE" w:rsidR="0026007F" w:rsidRPr="00AA79AC" w:rsidRDefault="0026007F" w:rsidP="000A57A3">
            <w:pPr>
              <w:pStyle w:val="NoSpacing"/>
            </w:pPr>
            <w:r>
              <w:t>ENT UK</w:t>
            </w:r>
          </w:p>
        </w:tc>
      </w:tr>
      <w:tr w:rsidR="0026007F" w:rsidRPr="00E90DD7" w14:paraId="767E34E3" w14:textId="77777777" w:rsidTr="00745678">
        <w:tc>
          <w:tcPr>
            <w:tcW w:w="1972" w:type="dxa"/>
          </w:tcPr>
          <w:p w14:paraId="7204D1C7" w14:textId="77777777" w:rsidR="0026007F" w:rsidRPr="00EF22C8" w:rsidRDefault="0026007F" w:rsidP="000A57A3">
            <w:pPr>
              <w:pStyle w:val="NoSpacing"/>
              <w:rPr>
                <w:rStyle w:val="Strong"/>
              </w:rPr>
            </w:pPr>
          </w:p>
        </w:tc>
        <w:tc>
          <w:tcPr>
            <w:tcW w:w="485" w:type="dxa"/>
            <w:tcBorders>
              <w:right w:val="single" w:sz="18" w:space="0" w:color="5DA1D2"/>
            </w:tcBorders>
          </w:tcPr>
          <w:p w14:paraId="3DF0BD3F" w14:textId="77777777" w:rsidR="0026007F" w:rsidRPr="00E90DD7" w:rsidRDefault="0026007F" w:rsidP="000A57A3">
            <w:pPr>
              <w:pStyle w:val="NoSpacing"/>
            </w:pPr>
          </w:p>
        </w:tc>
        <w:tc>
          <w:tcPr>
            <w:tcW w:w="485" w:type="dxa"/>
            <w:tcBorders>
              <w:left w:val="single" w:sz="18" w:space="0" w:color="5DA1D2"/>
            </w:tcBorders>
          </w:tcPr>
          <w:p w14:paraId="579900C3" w14:textId="77777777" w:rsidR="0026007F" w:rsidRPr="00E90DD7" w:rsidRDefault="0026007F" w:rsidP="000A57A3">
            <w:pPr>
              <w:pStyle w:val="NoSpacing"/>
            </w:pPr>
          </w:p>
        </w:tc>
        <w:tc>
          <w:tcPr>
            <w:tcW w:w="5705" w:type="dxa"/>
          </w:tcPr>
          <w:p w14:paraId="23BF21BE" w14:textId="6CB84C40" w:rsidR="0026007F" w:rsidRPr="00AA79AC" w:rsidRDefault="0026007F" w:rsidP="000A57A3">
            <w:pPr>
              <w:pStyle w:val="NoSpacing"/>
            </w:pPr>
            <w:r>
              <w:t>Royal College of Surgeons of England</w:t>
            </w:r>
          </w:p>
        </w:tc>
      </w:tr>
      <w:tr w:rsidR="0026007F" w:rsidRPr="00E90DD7" w14:paraId="6EF87A6E" w14:textId="77777777" w:rsidTr="00745678">
        <w:tc>
          <w:tcPr>
            <w:tcW w:w="1972" w:type="dxa"/>
          </w:tcPr>
          <w:p w14:paraId="62BFD183" w14:textId="77777777" w:rsidR="0026007F" w:rsidRPr="00EF22C8" w:rsidRDefault="0026007F" w:rsidP="000A57A3">
            <w:pPr>
              <w:pStyle w:val="NoSpacing"/>
              <w:rPr>
                <w:rStyle w:val="Strong"/>
              </w:rPr>
            </w:pPr>
          </w:p>
        </w:tc>
        <w:tc>
          <w:tcPr>
            <w:tcW w:w="485" w:type="dxa"/>
            <w:tcBorders>
              <w:right w:val="single" w:sz="18" w:space="0" w:color="5DA1D2"/>
            </w:tcBorders>
          </w:tcPr>
          <w:p w14:paraId="73D581E7" w14:textId="77777777" w:rsidR="0026007F" w:rsidRPr="00E90DD7" w:rsidRDefault="0026007F" w:rsidP="000A57A3">
            <w:pPr>
              <w:pStyle w:val="NoSpacing"/>
            </w:pPr>
          </w:p>
        </w:tc>
        <w:tc>
          <w:tcPr>
            <w:tcW w:w="485" w:type="dxa"/>
            <w:tcBorders>
              <w:left w:val="single" w:sz="18" w:space="0" w:color="5DA1D2"/>
            </w:tcBorders>
          </w:tcPr>
          <w:p w14:paraId="60E569A9" w14:textId="77777777" w:rsidR="0026007F" w:rsidRPr="00E90DD7" w:rsidRDefault="0026007F" w:rsidP="000A57A3">
            <w:pPr>
              <w:pStyle w:val="NoSpacing"/>
            </w:pPr>
          </w:p>
        </w:tc>
        <w:tc>
          <w:tcPr>
            <w:tcW w:w="5705" w:type="dxa"/>
          </w:tcPr>
          <w:p w14:paraId="5C136437" w14:textId="4CB49C1E" w:rsidR="0026007F" w:rsidRPr="00AA79AC" w:rsidRDefault="0026007F" w:rsidP="000A57A3">
            <w:pPr>
              <w:pStyle w:val="NoSpacing"/>
            </w:pPr>
            <w:r w:rsidRPr="0026007F">
              <w:t>35-43 Lincoln's Inn Fields</w:t>
            </w:r>
          </w:p>
        </w:tc>
      </w:tr>
      <w:tr w:rsidR="0026007F" w:rsidRPr="00E90DD7" w14:paraId="4C734561" w14:textId="77777777" w:rsidTr="00745678">
        <w:tc>
          <w:tcPr>
            <w:tcW w:w="1972" w:type="dxa"/>
          </w:tcPr>
          <w:p w14:paraId="4D7DAFBE" w14:textId="77777777" w:rsidR="0026007F" w:rsidRPr="00EF22C8" w:rsidRDefault="0026007F" w:rsidP="000A57A3">
            <w:pPr>
              <w:pStyle w:val="NoSpacing"/>
              <w:rPr>
                <w:rStyle w:val="Strong"/>
              </w:rPr>
            </w:pPr>
          </w:p>
        </w:tc>
        <w:tc>
          <w:tcPr>
            <w:tcW w:w="485" w:type="dxa"/>
            <w:tcBorders>
              <w:right w:val="single" w:sz="18" w:space="0" w:color="5DA1D2"/>
            </w:tcBorders>
          </w:tcPr>
          <w:p w14:paraId="69CBE782" w14:textId="77777777" w:rsidR="0026007F" w:rsidRPr="00E90DD7" w:rsidRDefault="0026007F" w:rsidP="000A57A3">
            <w:pPr>
              <w:pStyle w:val="NoSpacing"/>
            </w:pPr>
          </w:p>
        </w:tc>
        <w:tc>
          <w:tcPr>
            <w:tcW w:w="485" w:type="dxa"/>
            <w:tcBorders>
              <w:left w:val="single" w:sz="18" w:space="0" w:color="5DA1D2"/>
            </w:tcBorders>
          </w:tcPr>
          <w:p w14:paraId="4E7D5E1C" w14:textId="77777777" w:rsidR="0026007F" w:rsidRPr="00E90DD7" w:rsidRDefault="0026007F" w:rsidP="000A57A3">
            <w:pPr>
              <w:pStyle w:val="NoSpacing"/>
            </w:pPr>
          </w:p>
        </w:tc>
        <w:tc>
          <w:tcPr>
            <w:tcW w:w="5705" w:type="dxa"/>
          </w:tcPr>
          <w:p w14:paraId="3A9049FD" w14:textId="336A52E3" w:rsidR="0026007F" w:rsidRPr="00AA79AC" w:rsidRDefault="0026007F" w:rsidP="000A57A3">
            <w:pPr>
              <w:pStyle w:val="NoSpacing"/>
            </w:pPr>
            <w:r w:rsidRPr="0026007F">
              <w:t>London WC2A 3PE</w:t>
            </w:r>
          </w:p>
        </w:tc>
      </w:tr>
      <w:tr w:rsidR="0026007F" w:rsidRPr="00E90DD7" w14:paraId="0D02837C" w14:textId="77777777" w:rsidTr="00745678">
        <w:tc>
          <w:tcPr>
            <w:tcW w:w="1972" w:type="dxa"/>
          </w:tcPr>
          <w:p w14:paraId="117A51FC" w14:textId="77777777" w:rsidR="0026007F" w:rsidRPr="00EF22C8" w:rsidRDefault="0026007F" w:rsidP="000A57A3">
            <w:pPr>
              <w:pStyle w:val="NoSpacing"/>
              <w:rPr>
                <w:rStyle w:val="Strong"/>
              </w:rPr>
            </w:pPr>
          </w:p>
        </w:tc>
        <w:tc>
          <w:tcPr>
            <w:tcW w:w="485" w:type="dxa"/>
            <w:tcBorders>
              <w:right w:val="single" w:sz="18" w:space="0" w:color="5DA1D2"/>
            </w:tcBorders>
          </w:tcPr>
          <w:p w14:paraId="1CA7F136" w14:textId="77777777" w:rsidR="0026007F" w:rsidRPr="00E90DD7" w:rsidRDefault="0026007F" w:rsidP="000A57A3">
            <w:pPr>
              <w:pStyle w:val="NoSpacing"/>
            </w:pPr>
          </w:p>
        </w:tc>
        <w:tc>
          <w:tcPr>
            <w:tcW w:w="485" w:type="dxa"/>
            <w:tcBorders>
              <w:left w:val="single" w:sz="18" w:space="0" w:color="5DA1D2"/>
            </w:tcBorders>
          </w:tcPr>
          <w:p w14:paraId="71DD7516" w14:textId="77777777" w:rsidR="0026007F" w:rsidRPr="00E90DD7" w:rsidRDefault="0026007F" w:rsidP="000A57A3">
            <w:pPr>
              <w:pStyle w:val="NoSpacing"/>
            </w:pPr>
          </w:p>
        </w:tc>
        <w:tc>
          <w:tcPr>
            <w:tcW w:w="5705" w:type="dxa"/>
          </w:tcPr>
          <w:p w14:paraId="57E1D057" w14:textId="347AD269" w:rsidR="0026007F" w:rsidRPr="00AA79AC" w:rsidRDefault="0026007F" w:rsidP="000A57A3">
            <w:pPr>
              <w:pStyle w:val="NoSpacing"/>
            </w:pPr>
            <w:r>
              <w:t>United Kingdom</w:t>
            </w:r>
          </w:p>
        </w:tc>
      </w:tr>
      <w:tr w:rsidR="007A24E0" w:rsidRPr="00E90DD7" w14:paraId="18D84921" w14:textId="77777777" w:rsidTr="00745678">
        <w:tc>
          <w:tcPr>
            <w:tcW w:w="1972" w:type="dxa"/>
          </w:tcPr>
          <w:p w14:paraId="60F9A317" w14:textId="77777777" w:rsidR="007A24E0" w:rsidRPr="00EF22C8" w:rsidRDefault="007A24E0" w:rsidP="000A57A3">
            <w:pPr>
              <w:pStyle w:val="NoSpacing"/>
              <w:rPr>
                <w:rStyle w:val="Strong"/>
              </w:rPr>
            </w:pPr>
          </w:p>
        </w:tc>
        <w:tc>
          <w:tcPr>
            <w:tcW w:w="485" w:type="dxa"/>
            <w:tcBorders>
              <w:right w:val="single" w:sz="18" w:space="0" w:color="5DA1D2"/>
            </w:tcBorders>
          </w:tcPr>
          <w:p w14:paraId="63F28E0F" w14:textId="77777777" w:rsidR="007A24E0" w:rsidRPr="00E90DD7" w:rsidRDefault="007A24E0" w:rsidP="000A57A3">
            <w:pPr>
              <w:pStyle w:val="NoSpacing"/>
            </w:pPr>
          </w:p>
        </w:tc>
        <w:tc>
          <w:tcPr>
            <w:tcW w:w="485" w:type="dxa"/>
            <w:tcBorders>
              <w:left w:val="single" w:sz="18" w:space="0" w:color="5DA1D2"/>
            </w:tcBorders>
          </w:tcPr>
          <w:p w14:paraId="6B40B415" w14:textId="77777777" w:rsidR="007A24E0" w:rsidRPr="00E90DD7" w:rsidRDefault="007A24E0" w:rsidP="000A57A3">
            <w:pPr>
              <w:pStyle w:val="NoSpacing"/>
            </w:pPr>
          </w:p>
        </w:tc>
        <w:tc>
          <w:tcPr>
            <w:tcW w:w="5705" w:type="dxa"/>
          </w:tcPr>
          <w:p w14:paraId="2C497348" w14:textId="77777777" w:rsidR="007A24E0" w:rsidRPr="00AA79AC" w:rsidRDefault="007A24E0" w:rsidP="000A57A3">
            <w:pPr>
              <w:pStyle w:val="NoSpacing"/>
            </w:pPr>
          </w:p>
        </w:tc>
      </w:tr>
      <w:tr w:rsidR="00C074C1" w:rsidRPr="00E90DD7" w14:paraId="35061C9E" w14:textId="77777777" w:rsidTr="00745678">
        <w:tc>
          <w:tcPr>
            <w:tcW w:w="1972" w:type="dxa"/>
          </w:tcPr>
          <w:p w14:paraId="60E49D2C" w14:textId="570A80AA" w:rsidR="00C074C1" w:rsidRPr="00EF22C8" w:rsidRDefault="00C074C1" w:rsidP="000A57A3">
            <w:pPr>
              <w:pStyle w:val="NoSpacing"/>
              <w:rPr>
                <w:rStyle w:val="Strong"/>
              </w:rPr>
            </w:pPr>
            <w:r w:rsidRPr="00EF22C8">
              <w:rPr>
                <w:rStyle w:val="Strong"/>
              </w:rPr>
              <w:t xml:space="preserve">Project </w:t>
            </w:r>
            <w:r>
              <w:rPr>
                <w:rStyle w:val="Strong"/>
              </w:rPr>
              <w:t>Management</w:t>
            </w:r>
          </w:p>
        </w:tc>
        <w:tc>
          <w:tcPr>
            <w:tcW w:w="485" w:type="dxa"/>
            <w:tcBorders>
              <w:right w:val="single" w:sz="18" w:space="0" w:color="5DA1D2"/>
            </w:tcBorders>
          </w:tcPr>
          <w:p w14:paraId="3D6E8DA2" w14:textId="77777777" w:rsidR="00C074C1" w:rsidRPr="00E90DD7" w:rsidRDefault="00C074C1" w:rsidP="000A57A3">
            <w:pPr>
              <w:pStyle w:val="NoSpacing"/>
            </w:pPr>
          </w:p>
        </w:tc>
        <w:tc>
          <w:tcPr>
            <w:tcW w:w="485" w:type="dxa"/>
            <w:tcBorders>
              <w:left w:val="single" w:sz="18" w:space="0" w:color="5DA1D2"/>
            </w:tcBorders>
          </w:tcPr>
          <w:p w14:paraId="553C41DD" w14:textId="77777777" w:rsidR="00C074C1" w:rsidRPr="00E90DD7" w:rsidRDefault="00C074C1" w:rsidP="000A57A3">
            <w:pPr>
              <w:pStyle w:val="NoSpacing"/>
            </w:pPr>
          </w:p>
        </w:tc>
        <w:tc>
          <w:tcPr>
            <w:tcW w:w="5705" w:type="dxa"/>
          </w:tcPr>
          <w:p w14:paraId="03B7961A" w14:textId="77777777" w:rsidR="00C074C1" w:rsidRPr="00AA79AC" w:rsidRDefault="00C074C1" w:rsidP="000A57A3">
            <w:pPr>
              <w:pStyle w:val="NoSpacing"/>
            </w:pPr>
            <w:r w:rsidRPr="00AA79AC">
              <w:t>Professor Vinidh Paleri</w:t>
            </w:r>
          </w:p>
        </w:tc>
      </w:tr>
      <w:tr w:rsidR="00C074C1" w:rsidRPr="00E90DD7" w14:paraId="6B985A60" w14:textId="77777777" w:rsidTr="00745678">
        <w:tc>
          <w:tcPr>
            <w:tcW w:w="1972" w:type="dxa"/>
          </w:tcPr>
          <w:p w14:paraId="4684A394" w14:textId="48F6ED12" w:rsidR="00C074C1" w:rsidRPr="00EF22C8" w:rsidRDefault="00C074C1" w:rsidP="000A57A3">
            <w:pPr>
              <w:pStyle w:val="NoSpacing"/>
              <w:rPr>
                <w:rStyle w:val="Strong"/>
              </w:rPr>
            </w:pPr>
            <w:r>
              <w:rPr>
                <w:rStyle w:val="Strong"/>
              </w:rPr>
              <w:t>Team l</w:t>
            </w:r>
            <w:r w:rsidRPr="00EF22C8">
              <w:rPr>
                <w:rStyle w:val="Strong"/>
              </w:rPr>
              <w:t>ead:</w:t>
            </w:r>
          </w:p>
        </w:tc>
        <w:tc>
          <w:tcPr>
            <w:tcW w:w="485" w:type="dxa"/>
            <w:tcBorders>
              <w:right w:val="single" w:sz="18" w:space="0" w:color="5DA1D2"/>
            </w:tcBorders>
          </w:tcPr>
          <w:p w14:paraId="698437DC" w14:textId="77777777" w:rsidR="00C074C1" w:rsidRPr="00E90DD7" w:rsidRDefault="00C074C1" w:rsidP="000A57A3">
            <w:pPr>
              <w:pStyle w:val="NoSpacing"/>
            </w:pPr>
          </w:p>
        </w:tc>
        <w:tc>
          <w:tcPr>
            <w:tcW w:w="485" w:type="dxa"/>
            <w:tcBorders>
              <w:left w:val="single" w:sz="18" w:space="0" w:color="5DA1D2"/>
            </w:tcBorders>
          </w:tcPr>
          <w:p w14:paraId="105FDD9F" w14:textId="77777777" w:rsidR="00C074C1" w:rsidRPr="00E90DD7" w:rsidRDefault="00C074C1" w:rsidP="000A57A3">
            <w:pPr>
              <w:pStyle w:val="NoSpacing"/>
            </w:pPr>
          </w:p>
        </w:tc>
        <w:tc>
          <w:tcPr>
            <w:tcW w:w="5705" w:type="dxa"/>
          </w:tcPr>
          <w:p w14:paraId="48C5E96A" w14:textId="77777777" w:rsidR="00C074C1" w:rsidRPr="00AA79AC" w:rsidRDefault="00C074C1" w:rsidP="000A57A3">
            <w:pPr>
              <w:pStyle w:val="NoSpacing"/>
            </w:pPr>
            <w:r w:rsidRPr="00AA79AC">
              <w:t>Consultant Head &amp; Neck and Thyroid Surgeon,</w:t>
            </w:r>
          </w:p>
        </w:tc>
      </w:tr>
      <w:tr w:rsidR="00C074C1" w:rsidRPr="00E90DD7" w14:paraId="5A8F724D" w14:textId="77777777" w:rsidTr="00745678">
        <w:tc>
          <w:tcPr>
            <w:tcW w:w="1972" w:type="dxa"/>
          </w:tcPr>
          <w:p w14:paraId="4ED01108" w14:textId="77777777" w:rsidR="00C074C1" w:rsidRPr="00EF22C8" w:rsidRDefault="00C074C1" w:rsidP="000A57A3">
            <w:pPr>
              <w:pStyle w:val="NoSpacing"/>
              <w:rPr>
                <w:rStyle w:val="Strong"/>
              </w:rPr>
            </w:pPr>
          </w:p>
        </w:tc>
        <w:tc>
          <w:tcPr>
            <w:tcW w:w="485" w:type="dxa"/>
            <w:tcBorders>
              <w:right w:val="single" w:sz="18" w:space="0" w:color="5DA1D2"/>
            </w:tcBorders>
          </w:tcPr>
          <w:p w14:paraId="1F2A3900" w14:textId="77777777" w:rsidR="00C074C1" w:rsidRPr="00E90DD7" w:rsidRDefault="00C074C1" w:rsidP="000A57A3">
            <w:pPr>
              <w:pStyle w:val="NoSpacing"/>
            </w:pPr>
          </w:p>
        </w:tc>
        <w:tc>
          <w:tcPr>
            <w:tcW w:w="485" w:type="dxa"/>
            <w:tcBorders>
              <w:left w:val="single" w:sz="18" w:space="0" w:color="5DA1D2"/>
            </w:tcBorders>
          </w:tcPr>
          <w:p w14:paraId="31D9675A" w14:textId="77777777" w:rsidR="00C074C1" w:rsidRPr="00E90DD7" w:rsidRDefault="00C074C1" w:rsidP="000A57A3">
            <w:pPr>
              <w:pStyle w:val="NoSpacing"/>
            </w:pPr>
          </w:p>
        </w:tc>
        <w:tc>
          <w:tcPr>
            <w:tcW w:w="5705" w:type="dxa"/>
          </w:tcPr>
          <w:p w14:paraId="7C5EC3EE" w14:textId="77777777" w:rsidR="00C074C1" w:rsidRPr="00AA79AC" w:rsidRDefault="00C074C1" w:rsidP="000A57A3">
            <w:pPr>
              <w:pStyle w:val="NoSpacing"/>
            </w:pPr>
            <w:r w:rsidRPr="00AA79AC">
              <w:t>The Royal Marsden Hospital, London</w:t>
            </w:r>
          </w:p>
        </w:tc>
      </w:tr>
      <w:tr w:rsidR="00C074C1" w:rsidRPr="00E90DD7" w14:paraId="7659F24D" w14:textId="77777777" w:rsidTr="00745678">
        <w:tc>
          <w:tcPr>
            <w:tcW w:w="1972" w:type="dxa"/>
          </w:tcPr>
          <w:p w14:paraId="4C20E317" w14:textId="77777777" w:rsidR="00C074C1" w:rsidRPr="00EF22C8" w:rsidRDefault="00C074C1" w:rsidP="000A57A3">
            <w:pPr>
              <w:pStyle w:val="NoSpacing"/>
              <w:rPr>
                <w:rStyle w:val="Strong"/>
              </w:rPr>
            </w:pPr>
          </w:p>
        </w:tc>
        <w:tc>
          <w:tcPr>
            <w:tcW w:w="485" w:type="dxa"/>
            <w:tcBorders>
              <w:right w:val="single" w:sz="18" w:space="0" w:color="5DA1D2"/>
            </w:tcBorders>
          </w:tcPr>
          <w:p w14:paraId="24B4D182" w14:textId="77777777" w:rsidR="00C074C1" w:rsidRPr="00E90DD7" w:rsidRDefault="00C074C1" w:rsidP="000A57A3">
            <w:pPr>
              <w:pStyle w:val="NoSpacing"/>
            </w:pPr>
          </w:p>
        </w:tc>
        <w:tc>
          <w:tcPr>
            <w:tcW w:w="485" w:type="dxa"/>
            <w:tcBorders>
              <w:left w:val="single" w:sz="18" w:space="0" w:color="5DA1D2"/>
            </w:tcBorders>
          </w:tcPr>
          <w:p w14:paraId="47D62E22" w14:textId="77777777" w:rsidR="00C074C1" w:rsidRPr="00E90DD7" w:rsidRDefault="00C074C1" w:rsidP="000A57A3">
            <w:pPr>
              <w:pStyle w:val="NoSpacing"/>
            </w:pPr>
          </w:p>
        </w:tc>
        <w:tc>
          <w:tcPr>
            <w:tcW w:w="5705" w:type="dxa"/>
          </w:tcPr>
          <w:p w14:paraId="7EB4BA3F" w14:textId="77777777" w:rsidR="00C074C1" w:rsidRPr="00AA79AC" w:rsidRDefault="00C074C1" w:rsidP="000A57A3">
            <w:pPr>
              <w:pStyle w:val="NoSpacing"/>
            </w:pPr>
            <w:r w:rsidRPr="00AA79AC">
              <w:t>Professor of Robotic &amp; Endoscopic Head &amp; Neck Surgery,</w:t>
            </w:r>
          </w:p>
        </w:tc>
      </w:tr>
      <w:tr w:rsidR="00C074C1" w:rsidRPr="00E90DD7" w14:paraId="18539B97" w14:textId="77777777" w:rsidTr="00745678">
        <w:tc>
          <w:tcPr>
            <w:tcW w:w="1972" w:type="dxa"/>
          </w:tcPr>
          <w:p w14:paraId="73B17812" w14:textId="77777777" w:rsidR="00C074C1" w:rsidRPr="00EF22C8" w:rsidRDefault="00C074C1" w:rsidP="000A57A3">
            <w:pPr>
              <w:pStyle w:val="NoSpacing"/>
              <w:rPr>
                <w:rStyle w:val="Strong"/>
              </w:rPr>
            </w:pPr>
          </w:p>
        </w:tc>
        <w:tc>
          <w:tcPr>
            <w:tcW w:w="485" w:type="dxa"/>
            <w:tcBorders>
              <w:right w:val="single" w:sz="18" w:space="0" w:color="5DA1D2"/>
            </w:tcBorders>
          </w:tcPr>
          <w:p w14:paraId="7A582D5E" w14:textId="77777777" w:rsidR="00C074C1" w:rsidRPr="00E90DD7" w:rsidRDefault="00C074C1" w:rsidP="000A57A3">
            <w:pPr>
              <w:pStyle w:val="NoSpacing"/>
            </w:pPr>
          </w:p>
        </w:tc>
        <w:tc>
          <w:tcPr>
            <w:tcW w:w="485" w:type="dxa"/>
            <w:tcBorders>
              <w:left w:val="single" w:sz="18" w:space="0" w:color="5DA1D2"/>
            </w:tcBorders>
          </w:tcPr>
          <w:p w14:paraId="23D15F78" w14:textId="77777777" w:rsidR="00C074C1" w:rsidRPr="00E90DD7" w:rsidRDefault="00C074C1" w:rsidP="000A57A3">
            <w:pPr>
              <w:pStyle w:val="NoSpacing"/>
            </w:pPr>
          </w:p>
        </w:tc>
        <w:tc>
          <w:tcPr>
            <w:tcW w:w="5705" w:type="dxa"/>
          </w:tcPr>
          <w:p w14:paraId="32483CDC" w14:textId="77777777" w:rsidR="00C074C1" w:rsidRPr="00AA79AC" w:rsidRDefault="00C074C1" w:rsidP="000A57A3">
            <w:pPr>
              <w:pStyle w:val="NoSpacing"/>
            </w:pPr>
            <w:r w:rsidRPr="00AA79AC">
              <w:t>The Institute of Cancer Research, London</w:t>
            </w:r>
          </w:p>
        </w:tc>
      </w:tr>
      <w:tr w:rsidR="00C074C1" w:rsidRPr="00E90DD7" w14:paraId="5494A265" w14:textId="77777777" w:rsidTr="00745678">
        <w:tc>
          <w:tcPr>
            <w:tcW w:w="1972" w:type="dxa"/>
          </w:tcPr>
          <w:p w14:paraId="5A84B743" w14:textId="50D8200E" w:rsidR="00C074C1" w:rsidRPr="00EF22C8" w:rsidRDefault="00C074C1" w:rsidP="000A57A3">
            <w:pPr>
              <w:pStyle w:val="NoSpacing"/>
              <w:rPr>
                <w:rStyle w:val="Strong"/>
              </w:rPr>
            </w:pPr>
          </w:p>
        </w:tc>
        <w:tc>
          <w:tcPr>
            <w:tcW w:w="485" w:type="dxa"/>
            <w:tcBorders>
              <w:right w:val="single" w:sz="18" w:space="0" w:color="5DA1D2"/>
            </w:tcBorders>
          </w:tcPr>
          <w:p w14:paraId="30776327" w14:textId="77777777" w:rsidR="00C074C1" w:rsidRPr="00E90DD7" w:rsidRDefault="00C074C1" w:rsidP="000A57A3">
            <w:pPr>
              <w:pStyle w:val="NoSpacing"/>
            </w:pPr>
          </w:p>
        </w:tc>
        <w:tc>
          <w:tcPr>
            <w:tcW w:w="485" w:type="dxa"/>
            <w:tcBorders>
              <w:left w:val="single" w:sz="18" w:space="0" w:color="5DA1D2"/>
            </w:tcBorders>
          </w:tcPr>
          <w:p w14:paraId="6F239287" w14:textId="77777777" w:rsidR="00C074C1" w:rsidRPr="00E90DD7" w:rsidRDefault="00C074C1" w:rsidP="000A57A3">
            <w:pPr>
              <w:pStyle w:val="NoSpacing"/>
            </w:pPr>
          </w:p>
        </w:tc>
        <w:tc>
          <w:tcPr>
            <w:tcW w:w="5705" w:type="dxa"/>
          </w:tcPr>
          <w:p w14:paraId="42B92A32" w14:textId="77777777" w:rsidR="00C074C1" w:rsidRPr="00AA79AC" w:rsidRDefault="00C074C1" w:rsidP="000A57A3">
            <w:pPr>
              <w:pStyle w:val="NoSpacing"/>
            </w:pPr>
          </w:p>
        </w:tc>
      </w:tr>
      <w:tr w:rsidR="00C074C1" w:rsidRPr="00E90DD7" w14:paraId="26A9ADA7" w14:textId="77777777" w:rsidTr="00745678">
        <w:tc>
          <w:tcPr>
            <w:tcW w:w="1972" w:type="dxa"/>
          </w:tcPr>
          <w:p w14:paraId="071FB956" w14:textId="385A5663" w:rsidR="00C074C1" w:rsidRPr="00EF22C8" w:rsidRDefault="00C074C1" w:rsidP="000A57A3">
            <w:pPr>
              <w:pStyle w:val="NoSpacing"/>
              <w:rPr>
                <w:rStyle w:val="Strong"/>
              </w:rPr>
            </w:pPr>
            <w:r w:rsidRPr="00EF22C8">
              <w:rPr>
                <w:rStyle w:val="Strong"/>
              </w:rPr>
              <w:t xml:space="preserve">Project </w:t>
            </w:r>
            <w:r>
              <w:rPr>
                <w:rStyle w:val="Strong"/>
              </w:rPr>
              <w:t>Management Team members:</w:t>
            </w:r>
          </w:p>
        </w:tc>
        <w:tc>
          <w:tcPr>
            <w:tcW w:w="485" w:type="dxa"/>
            <w:tcBorders>
              <w:right w:val="single" w:sz="18" w:space="0" w:color="5DA1D2"/>
            </w:tcBorders>
          </w:tcPr>
          <w:p w14:paraId="6715DF7F" w14:textId="77777777" w:rsidR="00C074C1" w:rsidRPr="00E90DD7" w:rsidRDefault="00C074C1" w:rsidP="000A57A3">
            <w:pPr>
              <w:pStyle w:val="NoSpacing"/>
            </w:pPr>
          </w:p>
        </w:tc>
        <w:tc>
          <w:tcPr>
            <w:tcW w:w="485" w:type="dxa"/>
            <w:tcBorders>
              <w:left w:val="single" w:sz="18" w:space="0" w:color="5DA1D2"/>
            </w:tcBorders>
          </w:tcPr>
          <w:p w14:paraId="4D2C0160" w14:textId="77777777" w:rsidR="00C074C1" w:rsidRPr="00E90DD7" w:rsidRDefault="00C074C1" w:rsidP="000A57A3">
            <w:pPr>
              <w:pStyle w:val="NoSpacing"/>
            </w:pPr>
          </w:p>
        </w:tc>
        <w:tc>
          <w:tcPr>
            <w:tcW w:w="5705" w:type="dxa"/>
          </w:tcPr>
          <w:p w14:paraId="692C6E6B" w14:textId="77777777" w:rsidR="00C074C1" w:rsidRPr="00AA79AC" w:rsidRDefault="00C074C1" w:rsidP="000A57A3">
            <w:pPr>
              <w:pStyle w:val="NoSpacing"/>
            </w:pPr>
            <w:r w:rsidRPr="00AA79AC">
              <w:t xml:space="preserve">Mr John Hardman </w:t>
            </w:r>
          </w:p>
          <w:p w14:paraId="6894E539" w14:textId="77777777" w:rsidR="00C074C1" w:rsidRPr="00AA79AC" w:rsidRDefault="00C074C1" w:rsidP="000A57A3">
            <w:pPr>
              <w:pStyle w:val="NoSpacing"/>
            </w:pPr>
            <w:r w:rsidRPr="00AA79AC">
              <w:t>The Institute of Cancer Research, London</w:t>
            </w:r>
          </w:p>
          <w:p w14:paraId="332AB132" w14:textId="77777777" w:rsidR="00C074C1" w:rsidRPr="00AA79AC" w:rsidRDefault="00C074C1" w:rsidP="000A57A3">
            <w:pPr>
              <w:pStyle w:val="NoSpacing"/>
            </w:pPr>
            <w:r w:rsidRPr="00AA79AC">
              <w:t xml:space="preserve">Specialty Registrar in </w:t>
            </w:r>
            <w:r>
              <w:t>Otorhinolaryngology, Head &amp; Neck Surgery</w:t>
            </w:r>
          </w:p>
          <w:p w14:paraId="76F4C154" w14:textId="13783A6B" w:rsidR="00C074C1" w:rsidRPr="00AA79AC" w:rsidRDefault="00C074C1" w:rsidP="000A57A3">
            <w:pPr>
              <w:pStyle w:val="NoSpacing"/>
            </w:pPr>
            <w:r w:rsidRPr="00AA79AC">
              <w:t>The Royal Marsden Hospital, London</w:t>
            </w:r>
            <w:r>
              <w:t xml:space="preserve"> </w:t>
            </w:r>
          </w:p>
        </w:tc>
      </w:tr>
      <w:tr w:rsidR="00C074C1" w:rsidRPr="00E90DD7" w14:paraId="3FEF8787" w14:textId="77777777" w:rsidTr="00745678">
        <w:tc>
          <w:tcPr>
            <w:tcW w:w="1972" w:type="dxa"/>
          </w:tcPr>
          <w:p w14:paraId="5D9E447A" w14:textId="1432CDF9" w:rsidR="00C074C1" w:rsidRPr="00EF22C8" w:rsidRDefault="00C074C1" w:rsidP="000A57A3">
            <w:pPr>
              <w:pStyle w:val="NoSpacing"/>
              <w:rPr>
                <w:rStyle w:val="Strong"/>
              </w:rPr>
            </w:pPr>
          </w:p>
        </w:tc>
        <w:tc>
          <w:tcPr>
            <w:tcW w:w="485" w:type="dxa"/>
            <w:tcBorders>
              <w:right w:val="single" w:sz="18" w:space="0" w:color="5DA1D2"/>
            </w:tcBorders>
          </w:tcPr>
          <w:p w14:paraId="1BB5E9CB" w14:textId="77777777" w:rsidR="00C074C1" w:rsidRPr="00E90DD7" w:rsidRDefault="00C074C1" w:rsidP="000A57A3">
            <w:pPr>
              <w:pStyle w:val="NoSpacing"/>
            </w:pPr>
          </w:p>
        </w:tc>
        <w:tc>
          <w:tcPr>
            <w:tcW w:w="485" w:type="dxa"/>
            <w:tcBorders>
              <w:left w:val="single" w:sz="18" w:space="0" w:color="5DA1D2"/>
            </w:tcBorders>
          </w:tcPr>
          <w:p w14:paraId="2CD6D2AF" w14:textId="77777777" w:rsidR="00C074C1" w:rsidRPr="00E90DD7" w:rsidRDefault="00C074C1" w:rsidP="000A57A3">
            <w:pPr>
              <w:pStyle w:val="NoSpacing"/>
            </w:pPr>
          </w:p>
        </w:tc>
        <w:tc>
          <w:tcPr>
            <w:tcW w:w="5705" w:type="dxa"/>
          </w:tcPr>
          <w:p w14:paraId="485D576B" w14:textId="77777777" w:rsidR="00C074C1" w:rsidRPr="00AA79AC" w:rsidRDefault="00C074C1" w:rsidP="000A57A3">
            <w:pPr>
              <w:pStyle w:val="NoSpacing"/>
            </w:pPr>
          </w:p>
        </w:tc>
      </w:tr>
      <w:tr w:rsidR="00C074C1" w:rsidRPr="00E90DD7" w14:paraId="6B89FB66" w14:textId="77777777" w:rsidTr="00745678">
        <w:tc>
          <w:tcPr>
            <w:tcW w:w="1972" w:type="dxa"/>
          </w:tcPr>
          <w:p w14:paraId="632F0FD8" w14:textId="77777777" w:rsidR="00C074C1" w:rsidRPr="00EF22C8" w:rsidRDefault="00C074C1" w:rsidP="000A57A3">
            <w:pPr>
              <w:pStyle w:val="NoSpacing"/>
              <w:rPr>
                <w:rStyle w:val="Strong"/>
              </w:rPr>
            </w:pPr>
          </w:p>
        </w:tc>
        <w:tc>
          <w:tcPr>
            <w:tcW w:w="485" w:type="dxa"/>
            <w:tcBorders>
              <w:right w:val="single" w:sz="18" w:space="0" w:color="5DA1D2"/>
            </w:tcBorders>
          </w:tcPr>
          <w:p w14:paraId="1F7FCE74" w14:textId="77777777" w:rsidR="00C074C1" w:rsidRPr="00E90DD7" w:rsidRDefault="00C074C1" w:rsidP="000A57A3">
            <w:pPr>
              <w:pStyle w:val="NoSpacing"/>
            </w:pPr>
          </w:p>
        </w:tc>
        <w:tc>
          <w:tcPr>
            <w:tcW w:w="485" w:type="dxa"/>
            <w:tcBorders>
              <w:left w:val="single" w:sz="18" w:space="0" w:color="5DA1D2"/>
            </w:tcBorders>
          </w:tcPr>
          <w:p w14:paraId="051FEAB9" w14:textId="77777777" w:rsidR="00C074C1" w:rsidRPr="00E90DD7" w:rsidRDefault="00C074C1" w:rsidP="000A57A3">
            <w:pPr>
              <w:pStyle w:val="NoSpacing"/>
            </w:pPr>
          </w:p>
        </w:tc>
        <w:tc>
          <w:tcPr>
            <w:tcW w:w="5705" w:type="dxa"/>
          </w:tcPr>
          <w:p w14:paraId="0665DADD" w14:textId="77777777" w:rsidR="00C074C1" w:rsidRDefault="00C074C1" w:rsidP="000A57A3">
            <w:pPr>
              <w:pStyle w:val="NoSpacing"/>
            </w:pPr>
            <w:r>
              <w:t>Ms Theofano Tikka</w:t>
            </w:r>
          </w:p>
          <w:p w14:paraId="0C8A0869" w14:textId="77777777" w:rsidR="00C074C1" w:rsidRDefault="00C074C1" w:rsidP="000A57A3">
            <w:pPr>
              <w:pStyle w:val="NoSpacing"/>
            </w:pPr>
            <w:r>
              <w:t>Specialty Registrar in Otorhinolaryngology, Head &amp; Neck Surgery</w:t>
            </w:r>
          </w:p>
          <w:p w14:paraId="6A662443" w14:textId="2671597F" w:rsidR="00C074C1" w:rsidRPr="00AA79AC" w:rsidRDefault="00C074C1" w:rsidP="000A57A3">
            <w:pPr>
              <w:pStyle w:val="NoSpacing"/>
            </w:pPr>
            <w:r>
              <w:t>The Royal Marsden Hospital, London</w:t>
            </w:r>
          </w:p>
        </w:tc>
      </w:tr>
      <w:tr w:rsidR="007A24E0" w:rsidRPr="00E90DD7" w14:paraId="0CB85E32" w14:textId="77777777" w:rsidTr="00745678">
        <w:tc>
          <w:tcPr>
            <w:tcW w:w="1972" w:type="dxa"/>
          </w:tcPr>
          <w:p w14:paraId="700E255D" w14:textId="77777777" w:rsidR="007A24E0" w:rsidRPr="00EF22C8" w:rsidRDefault="007A24E0" w:rsidP="000A57A3">
            <w:pPr>
              <w:pStyle w:val="NoSpacing"/>
              <w:rPr>
                <w:rStyle w:val="Strong"/>
              </w:rPr>
            </w:pPr>
          </w:p>
        </w:tc>
        <w:tc>
          <w:tcPr>
            <w:tcW w:w="485" w:type="dxa"/>
            <w:tcBorders>
              <w:right w:val="single" w:sz="18" w:space="0" w:color="5DA1D2"/>
            </w:tcBorders>
          </w:tcPr>
          <w:p w14:paraId="69BC6555" w14:textId="77777777" w:rsidR="007A24E0" w:rsidRPr="00E90DD7" w:rsidRDefault="007A24E0" w:rsidP="000A57A3">
            <w:pPr>
              <w:pStyle w:val="NoSpacing"/>
            </w:pPr>
          </w:p>
        </w:tc>
        <w:tc>
          <w:tcPr>
            <w:tcW w:w="485" w:type="dxa"/>
            <w:tcBorders>
              <w:left w:val="single" w:sz="18" w:space="0" w:color="5DA1D2"/>
            </w:tcBorders>
          </w:tcPr>
          <w:p w14:paraId="7B885427" w14:textId="77777777" w:rsidR="007A24E0" w:rsidRPr="00E90DD7" w:rsidRDefault="007A24E0" w:rsidP="000A57A3">
            <w:pPr>
              <w:pStyle w:val="NoSpacing"/>
            </w:pPr>
          </w:p>
        </w:tc>
        <w:tc>
          <w:tcPr>
            <w:tcW w:w="5705" w:type="dxa"/>
          </w:tcPr>
          <w:p w14:paraId="38115A0C" w14:textId="77777777" w:rsidR="007A24E0" w:rsidRDefault="007A24E0" w:rsidP="000A57A3">
            <w:pPr>
              <w:pStyle w:val="NoSpacing"/>
            </w:pPr>
          </w:p>
        </w:tc>
      </w:tr>
      <w:tr w:rsidR="0026007F" w:rsidRPr="00E90DD7" w14:paraId="75F916DC" w14:textId="77777777" w:rsidTr="00745678">
        <w:tc>
          <w:tcPr>
            <w:tcW w:w="1972" w:type="dxa"/>
          </w:tcPr>
          <w:p w14:paraId="0BC7F658" w14:textId="77777777" w:rsidR="0026007F" w:rsidRPr="00EF22C8" w:rsidRDefault="0026007F" w:rsidP="000A57A3">
            <w:pPr>
              <w:pStyle w:val="NoSpacing"/>
              <w:rPr>
                <w:rStyle w:val="Strong"/>
              </w:rPr>
            </w:pPr>
            <w:r w:rsidRPr="00EF22C8">
              <w:rPr>
                <w:rStyle w:val="Strong"/>
              </w:rPr>
              <w:t>Contact:</w:t>
            </w:r>
          </w:p>
        </w:tc>
        <w:tc>
          <w:tcPr>
            <w:tcW w:w="485" w:type="dxa"/>
            <w:tcBorders>
              <w:right w:val="single" w:sz="18" w:space="0" w:color="5DA1D2"/>
            </w:tcBorders>
          </w:tcPr>
          <w:p w14:paraId="11423D07" w14:textId="77777777" w:rsidR="0026007F" w:rsidRPr="00E90DD7" w:rsidRDefault="0026007F" w:rsidP="000A57A3">
            <w:pPr>
              <w:pStyle w:val="NoSpacing"/>
            </w:pPr>
          </w:p>
        </w:tc>
        <w:tc>
          <w:tcPr>
            <w:tcW w:w="485" w:type="dxa"/>
            <w:tcBorders>
              <w:left w:val="single" w:sz="18" w:space="0" w:color="5DA1D2"/>
            </w:tcBorders>
          </w:tcPr>
          <w:p w14:paraId="352BEBB8" w14:textId="77777777" w:rsidR="0026007F" w:rsidRPr="00E90DD7" w:rsidRDefault="0026007F" w:rsidP="000A57A3">
            <w:pPr>
              <w:pStyle w:val="NoSpacing"/>
            </w:pPr>
          </w:p>
        </w:tc>
        <w:tc>
          <w:tcPr>
            <w:tcW w:w="5705" w:type="dxa"/>
          </w:tcPr>
          <w:p w14:paraId="70FEB1D4" w14:textId="77777777" w:rsidR="0026007F" w:rsidRPr="00AA79AC" w:rsidRDefault="00614304" w:rsidP="000A57A3">
            <w:pPr>
              <w:pStyle w:val="NoSpacing"/>
            </w:pPr>
            <w:hyperlink r:id="rId9" w:history="1">
              <w:r w:rsidR="0026007F" w:rsidRPr="007D0373">
                <w:rPr>
                  <w:rStyle w:val="Hyperlink"/>
                </w:rPr>
                <w:t>2wwtt@entintegrate.co.uk</w:t>
              </w:r>
            </w:hyperlink>
            <w:r w:rsidR="0026007F">
              <w:t xml:space="preserve"> </w:t>
            </w:r>
          </w:p>
        </w:tc>
      </w:tr>
      <w:tr w:rsidR="0026007F" w:rsidRPr="00E90DD7" w14:paraId="50C290FB" w14:textId="77777777" w:rsidTr="00745678">
        <w:tc>
          <w:tcPr>
            <w:tcW w:w="1972" w:type="dxa"/>
          </w:tcPr>
          <w:p w14:paraId="10F7A29F" w14:textId="66C842AB" w:rsidR="0026007F" w:rsidRPr="00EF22C8" w:rsidRDefault="0026007F" w:rsidP="000A57A3">
            <w:pPr>
              <w:pStyle w:val="NoSpacing"/>
              <w:rPr>
                <w:rStyle w:val="Strong"/>
              </w:rPr>
            </w:pPr>
            <w:r w:rsidRPr="00EF22C8">
              <w:rPr>
                <w:rStyle w:val="Strong"/>
              </w:rPr>
              <w:t>Resources:</w:t>
            </w:r>
          </w:p>
        </w:tc>
        <w:tc>
          <w:tcPr>
            <w:tcW w:w="485" w:type="dxa"/>
            <w:tcBorders>
              <w:right w:val="single" w:sz="18" w:space="0" w:color="5DA1D2"/>
            </w:tcBorders>
          </w:tcPr>
          <w:p w14:paraId="072673AC" w14:textId="77777777" w:rsidR="0026007F" w:rsidRPr="00E90DD7" w:rsidRDefault="0026007F" w:rsidP="000A57A3">
            <w:pPr>
              <w:pStyle w:val="NoSpacing"/>
            </w:pPr>
          </w:p>
        </w:tc>
        <w:tc>
          <w:tcPr>
            <w:tcW w:w="485" w:type="dxa"/>
            <w:tcBorders>
              <w:left w:val="single" w:sz="18" w:space="0" w:color="5DA1D2"/>
            </w:tcBorders>
          </w:tcPr>
          <w:p w14:paraId="69305304" w14:textId="77777777" w:rsidR="0026007F" w:rsidRPr="00E90DD7" w:rsidRDefault="0026007F" w:rsidP="000A57A3">
            <w:pPr>
              <w:pStyle w:val="NoSpacing"/>
            </w:pPr>
          </w:p>
        </w:tc>
        <w:tc>
          <w:tcPr>
            <w:tcW w:w="5705" w:type="dxa"/>
          </w:tcPr>
          <w:p w14:paraId="520CD134" w14:textId="5DFEA58E" w:rsidR="0026007F" w:rsidRPr="00AA79AC" w:rsidRDefault="00614304" w:rsidP="000A57A3">
            <w:pPr>
              <w:pStyle w:val="NoSpacing"/>
            </w:pPr>
            <w:hyperlink r:id="rId10" w:history="1">
              <w:r w:rsidR="00CC479F" w:rsidRPr="007D0373">
                <w:rPr>
                  <w:rStyle w:val="Hyperlink"/>
                </w:rPr>
                <w:t>https://entintegrate.co.uk/entuk2wwtt</w:t>
              </w:r>
            </w:hyperlink>
            <w:r w:rsidR="00CC479F">
              <w:t xml:space="preserve"> </w:t>
            </w:r>
          </w:p>
        </w:tc>
      </w:tr>
    </w:tbl>
    <w:p w14:paraId="47099BF6" w14:textId="56B10B9A" w:rsidR="002941CD" w:rsidRDefault="002941CD" w:rsidP="000A57A3"/>
    <w:p w14:paraId="422B9838" w14:textId="77777777" w:rsidR="0026007F" w:rsidRDefault="0026007F" w:rsidP="000A57A3">
      <w:r>
        <w:br w:type="page"/>
      </w:r>
    </w:p>
    <w:p w14:paraId="7C47A7DA" w14:textId="77777777" w:rsidR="0026007F" w:rsidRPr="0026007F" w:rsidRDefault="0026007F" w:rsidP="000A57A3">
      <w:pPr>
        <w:rPr>
          <w:rFonts w:cs="Calibri (Body)"/>
          <w:b/>
          <w:noProof/>
          <w:sz w:val="24"/>
        </w:rPr>
      </w:pPr>
      <w:r w:rsidRPr="0026007F">
        <w:lastRenderedPageBreak/>
        <w:t>Table of contents</w:t>
      </w:r>
      <w:r w:rsidRPr="0026007F">
        <w:tab/>
      </w:r>
      <w:r w:rsidRPr="0026007F">
        <w:rPr>
          <w:rFonts w:cs="Calibri (Body)"/>
          <w:b/>
          <w:noProof/>
          <w:sz w:val="24"/>
        </w:rPr>
        <w:tab/>
      </w:r>
      <w:r w:rsidRPr="0026007F">
        <w:rPr>
          <w:rFonts w:cs="Calibri (Body)"/>
          <w:b/>
          <w:noProof/>
          <w:sz w:val="24"/>
        </w:rPr>
        <w:tab/>
      </w:r>
    </w:p>
    <w:p w14:paraId="1BBF8FFF" w14:textId="41EA4D7E" w:rsidR="000264AC" w:rsidRDefault="0026007F">
      <w:pPr>
        <w:pStyle w:val="TOC1"/>
        <w:rPr>
          <w:rFonts w:asciiTheme="minorHAnsi" w:eastAsiaTheme="minorEastAsia" w:hAnsiTheme="minorHAnsi" w:cstheme="minorBidi"/>
          <w:bCs w:val="0"/>
          <w:color w:val="auto"/>
          <w:szCs w:val="24"/>
          <w:lang w:eastAsia="en-GB"/>
        </w:rPr>
      </w:pPr>
      <w:r>
        <w:rPr>
          <w:b/>
        </w:rPr>
        <w:fldChar w:fldCharType="begin"/>
      </w:r>
      <w:r>
        <w:rPr>
          <w:b/>
        </w:rPr>
        <w:instrText xml:space="preserve"> TOC \o "1-1" \h \z \u </w:instrText>
      </w:r>
      <w:r>
        <w:rPr>
          <w:b/>
        </w:rPr>
        <w:fldChar w:fldCharType="separate"/>
      </w:r>
      <w:hyperlink w:anchor="_Toc36479633" w:history="1">
        <w:r w:rsidR="000264AC" w:rsidRPr="003028D5">
          <w:rPr>
            <w:rStyle w:val="Hyperlink"/>
          </w:rPr>
          <w:t>1</w:t>
        </w:r>
        <w:r w:rsidR="000264AC">
          <w:rPr>
            <w:rFonts w:asciiTheme="minorHAnsi" w:eastAsiaTheme="minorEastAsia" w:hAnsiTheme="minorHAnsi" w:cstheme="minorBidi"/>
            <w:bCs w:val="0"/>
            <w:color w:val="auto"/>
            <w:szCs w:val="24"/>
            <w:lang w:eastAsia="en-GB"/>
          </w:rPr>
          <w:tab/>
        </w:r>
        <w:r w:rsidR="000264AC" w:rsidRPr="003028D5">
          <w:rPr>
            <w:rStyle w:val="Hyperlink"/>
          </w:rPr>
          <w:t>Version history</w:t>
        </w:r>
        <w:r w:rsidR="000264AC">
          <w:rPr>
            <w:webHidden/>
          </w:rPr>
          <w:tab/>
        </w:r>
        <w:r w:rsidR="000264AC">
          <w:rPr>
            <w:webHidden/>
          </w:rPr>
          <w:fldChar w:fldCharType="begin"/>
        </w:r>
        <w:r w:rsidR="000264AC">
          <w:rPr>
            <w:webHidden/>
          </w:rPr>
          <w:instrText xml:space="preserve"> PAGEREF _Toc36479633 \h </w:instrText>
        </w:r>
        <w:r w:rsidR="000264AC">
          <w:rPr>
            <w:webHidden/>
          </w:rPr>
        </w:r>
        <w:r w:rsidR="000264AC">
          <w:rPr>
            <w:webHidden/>
          </w:rPr>
          <w:fldChar w:fldCharType="separate"/>
        </w:r>
        <w:r w:rsidR="000264AC">
          <w:rPr>
            <w:webHidden/>
          </w:rPr>
          <w:t>3</w:t>
        </w:r>
        <w:r w:rsidR="000264AC">
          <w:rPr>
            <w:webHidden/>
          </w:rPr>
          <w:fldChar w:fldCharType="end"/>
        </w:r>
      </w:hyperlink>
    </w:p>
    <w:p w14:paraId="1F03F2B2" w14:textId="06B14386" w:rsidR="000264AC" w:rsidRDefault="00614304">
      <w:pPr>
        <w:pStyle w:val="TOC1"/>
        <w:rPr>
          <w:rFonts w:asciiTheme="minorHAnsi" w:eastAsiaTheme="minorEastAsia" w:hAnsiTheme="minorHAnsi" w:cstheme="minorBidi"/>
          <w:bCs w:val="0"/>
          <w:color w:val="auto"/>
          <w:szCs w:val="24"/>
          <w:lang w:eastAsia="en-GB"/>
        </w:rPr>
      </w:pPr>
      <w:hyperlink w:anchor="_Toc36479634" w:history="1">
        <w:r w:rsidR="000264AC" w:rsidRPr="003028D5">
          <w:rPr>
            <w:rStyle w:val="Hyperlink"/>
          </w:rPr>
          <w:t>2</w:t>
        </w:r>
        <w:r w:rsidR="000264AC">
          <w:rPr>
            <w:rFonts w:asciiTheme="minorHAnsi" w:eastAsiaTheme="minorEastAsia" w:hAnsiTheme="minorHAnsi" w:cstheme="minorBidi"/>
            <w:bCs w:val="0"/>
            <w:color w:val="auto"/>
            <w:szCs w:val="24"/>
            <w:lang w:eastAsia="en-GB"/>
          </w:rPr>
          <w:tab/>
        </w:r>
        <w:r w:rsidR="000264AC" w:rsidRPr="003028D5">
          <w:rPr>
            <w:rStyle w:val="Hyperlink"/>
          </w:rPr>
          <w:t>Table of acronyms</w:t>
        </w:r>
        <w:r w:rsidR="000264AC">
          <w:rPr>
            <w:webHidden/>
          </w:rPr>
          <w:tab/>
        </w:r>
        <w:r w:rsidR="000264AC">
          <w:rPr>
            <w:webHidden/>
          </w:rPr>
          <w:fldChar w:fldCharType="begin"/>
        </w:r>
        <w:r w:rsidR="000264AC">
          <w:rPr>
            <w:webHidden/>
          </w:rPr>
          <w:instrText xml:space="preserve"> PAGEREF _Toc36479634 \h </w:instrText>
        </w:r>
        <w:r w:rsidR="000264AC">
          <w:rPr>
            <w:webHidden/>
          </w:rPr>
        </w:r>
        <w:r w:rsidR="000264AC">
          <w:rPr>
            <w:webHidden/>
          </w:rPr>
          <w:fldChar w:fldCharType="separate"/>
        </w:r>
        <w:r w:rsidR="000264AC">
          <w:rPr>
            <w:webHidden/>
          </w:rPr>
          <w:t>4</w:t>
        </w:r>
        <w:r w:rsidR="000264AC">
          <w:rPr>
            <w:webHidden/>
          </w:rPr>
          <w:fldChar w:fldCharType="end"/>
        </w:r>
      </w:hyperlink>
    </w:p>
    <w:p w14:paraId="75824DF5" w14:textId="198DCF1E" w:rsidR="000264AC" w:rsidRDefault="00614304">
      <w:pPr>
        <w:pStyle w:val="TOC1"/>
        <w:rPr>
          <w:rFonts w:asciiTheme="minorHAnsi" w:eastAsiaTheme="minorEastAsia" w:hAnsiTheme="minorHAnsi" w:cstheme="minorBidi"/>
          <w:bCs w:val="0"/>
          <w:color w:val="auto"/>
          <w:szCs w:val="24"/>
          <w:lang w:eastAsia="en-GB"/>
        </w:rPr>
      </w:pPr>
      <w:hyperlink w:anchor="_Toc36479635" w:history="1">
        <w:r w:rsidR="000264AC" w:rsidRPr="003028D5">
          <w:rPr>
            <w:rStyle w:val="Hyperlink"/>
          </w:rPr>
          <w:t>3</w:t>
        </w:r>
        <w:r w:rsidR="000264AC">
          <w:rPr>
            <w:rFonts w:asciiTheme="minorHAnsi" w:eastAsiaTheme="minorEastAsia" w:hAnsiTheme="minorHAnsi" w:cstheme="minorBidi"/>
            <w:bCs w:val="0"/>
            <w:color w:val="auto"/>
            <w:szCs w:val="24"/>
            <w:lang w:eastAsia="en-GB"/>
          </w:rPr>
          <w:tab/>
        </w:r>
        <w:r w:rsidR="000264AC" w:rsidRPr="003028D5">
          <w:rPr>
            <w:rStyle w:val="Hyperlink"/>
          </w:rPr>
          <w:t>Rationale and background information</w:t>
        </w:r>
        <w:r w:rsidR="000264AC">
          <w:rPr>
            <w:webHidden/>
          </w:rPr>
          <w:tab/>
        </w:r>
        <w:r w:rsidR="000264AC">
          <w:rPr>
            <w:webHidden/>
          </w:rPr>
          <w:fldChar w:fldCharType="begin"/>
        </w:r>
        <w:r w:rsidR="000264AC">
          <w:rPr>
            <w:webHidden/>
          </w:rPr>
          <w:instrText xml:space="preserve"> PAGEREF _Toc36479635 \h </w:instrText>
        </w:r>
        <w:r w:rsidR="000264AC">
          <w:rPr>
            <w:webHidden/>
          </w:rPr>
        </w:r>
        <w:r w:rsidR="000264AC">
          <w:rPr>
            <w:webHidden/>
          </w:rPr>
          <w:fldChar w:fldCharType="separate"/>
        </w:r>
        <w:r w:rsidR="000264AC">
          <w:rPr>
            <w:webHidden/>
          </w:rPr>
          <w:t>5</w:t>
        </w:r>
        <w:r w:rsidR="000264AC">
          <w:rPr>
            <w:webHidden/>
          </w:rPr>
          <w:fldChar w:fldCharType="end"/>
        </w:r>
      </w:hyperlink>
    </w:p>
    <w:p w14:paraId="22F5B228" w14:textId="18E39B21" w:rsidR="000264AC" w:rsidRDefault="00614304">
      <w:pPr>
        <w:pStyle w:val="TOC1"/>
        <w:rPr>
          <w:rFonts w:asciiTheme="minorHAnsi" w:eastAsiaTheme="minorEastAsia" w:hAnsiTheme="minorHAnsi" w:cstheme="minorBidi"/>
          <w:bCs w:val="0"/>
          <w:color w:val="auto"/>
          <w:szCs w:val="24"/>
          <w:lang w:eastAsia="en-GB"/>
        </w:rPr>
      </w:pPr>
      <w:hyperlink w:anchor="_Toc36479636" w:history="1">
        <w:r w:rsidR="000264AC" w:rsidRPr="003028D5">
          <w:rPr>
            <w:rStyle w:val="Hyperlink"/>
          </w:rPr>
          <w:t>4</w:t>
        </w:r>
        <w:r w:rsidR="000264AC">
          <w:rPr>
            <w:rFonts w:asciiTheme="minorHAnsi" w:eastAsiaTheme="minorEastAsia" w:hAnsiTheme="minorHAnsi" w:cstheme="minorBidi"/>
            <w:bCs w:val="0"/>
            <w:color w:val="auto"/>
            <w:szCs w:val="24"/>
            <w:lang w:eastAsia="en-GB"/>
          </w:rPr>
          <w:tab/>
        </w:r>
        <w:r w:rsidR="000264AC" w:rsidRPr="003028D5">
          <w:rPr>
            <w:rStyle w:val="Hyperlink"/>
          </w:rPr>
          <w:t>Aims, objectives and outcome measures</w:t>
        </w:r>
        <w:r w:rsidR="000264AC">
          <w:rPr>
            <w:webHidden/>
          </w:rPr>
          <w:tab/>
        </w:r>
        <w:r w:rsidR="000264AC">
          <w:rPr>
            <w:webHidden/>
          </w:rPr>
          <w:fldChar w:fldCharType="begin"/>
        </w:r>
        <w:r w:rsidR="000264AC">
          <w:rPr>
            <w:webHidden/>
          </w:rPr>
          <w:instrText xml:space="preserve"> PAGEREF _Toc36479636 \h </w:instrText>
        </w:r>
        <w:r w:rsidR="000264AC">
          <w:rPr>
            <w:webHidden/>
          </w:rPr>
        </w:r>
        <w:r w:rsidR="000264AC">
          <w:rPr>
            <w:webHidden/>
          </w:rPr>
          <w:fldChar w:fldCharType="separate"/>
        </w:r>
        <w:r w:rsidR="000264AC">
          <w:rPr>
            <w:webHidden/>
          </w:rPr>
          <w:t>6</w:t>
        </w:r>
        <w:r w:rsidR="000264AC">
          <w:rPr>
            <w:webHidden/>
          </w:rPr>
          <w:fldChar w:fldCharType="end"/>
        </w:r>
      </w:hyperlink>
    </w:p>
    <w:p w14:paraId="46C06FA3" w14:textId="1EB89498" w:rsidR="000264AC" w:rsidRDefault="00614304">
      <w:pPr>
        <w:pStyle w:val="TOC1"/>
        <w:rPr>
          <w:rFonts w:asciiTheme="minorHAnsi" w:eastAsiaTheme="minorEastAsia" w:hAnsiTheme="minorHAnsi" w:cstheme="minorBidi"/>
          <w:bCs w:val="0"/>
          <w:color w:val="auto"/>
          <w:szCs w:val="24"/>
          <w:lang w:eastAsia="en-GB"/>
        </w:rPr>
      </w:pPr>
      <w:hyperlink w:anchor="_Toc36479637" w:history="1">
        <w:r w:rsidR="000264AC" w:rsidRPr="003028D5">
          <w:rPr>
            <w:rStyle w:val="Hyperlink"/>
          </w:rPr>
          <w:t>5</w:t>
        </w:r>
        <w:r w:rsidR="000264AC">
          <w:rPr>
            <w:rFonts w:asciiTheme="minorHAnsi" w:eastAsiaTheme="minorEastAsia" w:hAnsiTheme="minorHAnsi" w:cstheme="minorBidi"/>
            <w:bCs w:val="0"/>
            <w:color w:val="auto"/>
            <w:szCs w:val="24"/>
            <w:lang w:eastAsia="en-GB"/>
          </w:rPr>
          <w:tab/>
        </w:r>
        <w:r w:rsidR="000264AC" w:rsidRPr="003028D5">
          <w:rPr>
            <w:rStyle w:val="Hyperlink"/>
          </w:rPr>
          <w:t>Project design and setting</w:t>
        </w:r>
        <w:r w:rsidR="000264AC">
          <w:rPr>
            <w:webHidden/>
          </w:rPr>
          <w:tab/>
        </w:r>
        <w:r w:rsidR="000264AC">
          <w:rPr>
            <w:webHidden/>
          </w:rPr>
          <w:fldChar w:fldCharType="begin"/>
        </w:r>
        <w:r w:rsidR="000264AC">
          <w:rPr>
            <w:webHidden/>
          </w:rPr>
          <w:instrText xml:space="preserve"> PAGEREF _Toc36479637 \h </w:instrText>
        </w:r>
        <w:r w:rsidR="000264AC">
          <w:rPr>
            <w:webHidden/>
          </w:rPr>
        </w:r>
        <w:r w:rsidR="000264AC">
          <w:rPr>
            <w:webHidden/>
          </w:rPr>
          <w:fldChar w:fldCharType="separate"/>
        </w:r>
        <w:r w:rsidR="000264AC">
          <w:rPr>
            <w:webHidden/>
          </w:rPr>
          <w:t>7</w:t>
        </w:r>
        <w:r w:rsidR="000264AC">
          <w:rPr>
            <w:webHidden/>
          </w:rPr>
          <w:fldChar w:fldCharType="end"/>
        </w:r>
      </w:hyperlink>
    </w:p>
    <w:p w14:paraId="5F87A883" w14:textId="4995B74E" w:rsidR="000264AC" w:rsidRDefault="00614304">
      <w:pPr>
        <w:pStyle w:val="TOC1"/>
        <w:rPr>
          <w:rFonts w:asciiTheme="minorHAnsi" w:eastAsiaTheme="minorEastAsia" w:hAnsiTheme="minorHAnsi" w:cstheme="minorBidi"/>
          <w:bCs w:val="0"/>
          <w:color w:val="auto"/>
          <w:szCs w:val="24"/>
          <w:lang w:eastAsia="en-GB"/>
        </w:rPr>
      </w:pPr>
      <w:hyperlink w:anchor="_Toc36479638" w:history="1">
        <w:r w:rsidR="000264AC" w:rsidRPr="003028D5">
          <w:rPr>
            <w:rStyle w:val="Hyperlink"/>
          </w:rPr>
          <w:t>6</w:t>
        </w:r>
        <w:r w:rsidR="000264AC">
          <w:rPr>
            <w:rFonts w:asciiTheme="minorHAnsi" w:eastAsiaTheme="minorEastAsia" w:hAnsiTheme="minorHAnsi" w:cstheme="minorBidi"/>
            <w:bCs w:val="0"/>
            <w:color w:val="auto"/>
            <w:szCs w:val="24"/>
            <w:lang w:eastAsia="en-GB"/>
          </w:rPr>
          <w:tab/>
        </w:r>
        <w:r w:rsidR="000264AC" w:rsidRPr="003028D5">
          <w:rPr>
            <w:rStyle w:val="Hyperlink"/>
          </w:rPr>
          <w:t>Participant eligibility</w:t>
        </w:r>
        <w:r w:rsidR="000264AC">
          <w:rPr>
            <w:webHidden/>
          </w:rPr>
          <w:tab/>
        </w:r>
        <w:r w:rsidR="000264AC">
          <w:rPr>
            <w:webHidden/>
          </w:rPr>
          <w:fldChar w:fldCharType="begin"/>
        </w:r>
        <w:r w:rsidR="000264AC">
          <w:rPr>
            <w:webHidden/>
          </w:rPr>
          <w:instrText xml:space="preserve"> PAGEREF _Toc36479638 \h </w:instrText>
        </w:r>
        <w:r w:rsidR="000264AC">
          <w:rPr>
            <w:webHidden/>
          </w:rPr>
        </w:r>
        <w:r w:rsidR="000264AC">
          <w:rPr>
            <w:webHidden/>
          </w:rPr>
          <w:fldChar w:fldCharType="separate"/>
        </w:r>
        <w:r w:rsidR="000264AC">
          <w:rPr>
            <w:webHidden/>
          </w:rPr>
          <w:t>8</w:t>
        </w:r>
        <w:r w:rsidR="000264AC">
          <w:rPr>
            <w:webHidden/>
          </w:rPr>
          <w:fldChar w:fldCharType="end"/>
        </w:r>
      </w:hyperlink>
    </w:p>
    <w:p w14:paraId="7258A3CC" w14:textId="571B9F7A" w:rsidR="000264AC" w:rsidRDefault="00614304">
      <w:pPr>
        <w:pStyle w:val="TOC1"/>
        <w:rPr>
          <w:rFonts w:asciiTheme="minorHAnsi" w:eastAsiaTheme="minorEastAsia" w:hAnsiTheme="minorHAnsi" w:cstheme="minorBidi"/>
          <w:bCs w:val="0"/>
          <w:color w:val="auto"/>
          <w:szCs w:val="24"/>
          <w:lang w:eastAsia="en-GB"/>
        </w:rPr>
      </w:pPr>
      <w:hyperlink w:anchor="_Toc36479639" w:history="1">
        <w:r w:rsidR="000264AC" w:rsidRPr="003028D5">
          <w:rPr>
            <w:rStyle w:val="Hyperlink"/>
          </w:rPr>
          <w:t>7</w:t>
        </w:r>
        <w:r w:rsidR="000264AC">
          <w:rPr>
            <w:rFonts w:asciiTheme="minorHAnsi" w:eastAsiaTheme="minorEastAsia" w:hAnsiTheme="minorHAnsi" w:cstheme="minorBidi"/>
            <w:bCs w:val="0"/>
            <w:color w:val="auto"/>
            <w:szCs w:val="24"/>
            <w:lang w:eastAsia="en-GB"/>
          </w:rPr>
          <w:tab/>
        </w:r>
        <w:r w:rsidR="000264AC" w:rsidRPr="003028D5">
          <w:rPr>
            <w:rStyle w:val="Hyperlink"/>
          </w:rPr>
          <w:t>Project procedures and methodology</w:t>
        </w:r>
        <w:r w:rsidR="000264AC">
          <w:rPr>
            <w:webHidden/>
          </w:rPr>
          <w:tab/>
        </w:r>
        <w:r w:rsidR="000264AC">
          <w:rPr>
            <w:webHidden/>
          </w:rPr>
          <w:fldChar w:fldCharType="begin"/>
        </w:r>
        <w:r w:rsidR="000264AC">
          <w:rPr>
            <w:webHidden/>
          </w:rPr>
          <w:instrText xml:space="preserve"> PAGEREF _Toc36479639 \h </w:instrText>
        </w:r>
        <w:r w:rsidR="000264AC">
          <w:rPr>
            <w:webHidden/>
          </w:rPr>
        </w:r>
        <w:r w:rsidR="000264AC">
          <w:rPr>
            <w:webHidden/>
          </w:rPr>
          <w:fldChar w:fldCharType="separate"/>
        </w:r>
        <w:r w:rsidR="000264AC">
          <w:rPr>
            <w:webHidden/>
          </w:rPr>
          <w:t>9</w:t>
        </w:r>
        <w:r w:rsidR="000264AC">
          <w:rPr>
            <w:webHidden/>
          </w:rPr>
          <w:fldChar w:fldCharType="end"/>
        </w:r>
      </w:hyperlink>
    </w:p>
    <w:p w14:paraId="4D90ACC3" w14:textId="31EE4A65" w:rsidR="000264AC" w:rsidRDefault="00614304">
      <w:pPr>
        <w:pStyle w:val="TOC1"/>
        <w:rPr>
          <w:rFonts w:asciiTheme="minorHAnsi" w:eastAsiaTheme="minorEastAsia" w:hAnsiTheme="minorHAnsi" w:cstheme="minorBidi"/>
          <w:bCs w:val="0"/>
          <w:color w:val="auto"/>
          <w:szCs w:val="24"/>
          <w:lang w:eastAsia="en-GB"/>
        </w:rPr>
      </w:pPr>
      <w:hyperlink w:anchor="_Toc36479640" w:history="1">
        <w:r w:rsidR="000264AC" w:rsidRPr="003028D5">
          <w:rPr>
            <w:rStyle w:val="Hyperlink"/>
          </w:rPr>
          <w:t>8</w:t>
        </w:r>
        <w:r w:rsidR="000264AC">
          <w:rPr>
            <w:rFonts w:asciiTheme="minorHAnsi" w:eastAsiaTheme="minorEastAsia" w:hAnsiTheme="minorHAnsi" w:cstheme="minorBidi"/>
            <w:bCs w:val="0"/>
            <w:color w:val="auto"/>
            <w:szCs w:val="24"/>
            <w:lang w:eastAsia="en-GB"/>
          </w:rPr>
          <w:tab/>
        </w:r>
        <w:r w:rsidR="000264AC" w:rsidRPr="003028D5">
          <w:rPr>
            <w:rStyle w:val="Hyperlink"/>
          </w:rPr>
          <w:t>Data analysis</w:t>
        </w:r>
        <w:r w:rsidR="000264AC">
          <w:rPr>
            <w:webHidden/>
          </w:rPr>
          <w:tab/>
        </w:r>
        <w:r w:rsidR="000264AC">
          <w:rPr>
            <w:webHidden/>
          </w:rPr>
          <w:fldChar w:fldCharType="begin"/>
        </w:r>
        <w:r w:rsidR="000264AC">
          <w:rPr>
            <w:webHidden/>
          </w:rPr>
          <w:instrText xml:space="preserve"> PAGEREF _Toc36479640 \h </w:instrText>
        </w:r>
        <w:r w:rsidR="000264AC">
          <w:rPr>
            <w:webHidden/>
          </w:rPr>
        </w:r>
        <w:r w:rsidR="000264AC">
          <w:rPr>
            <w:webHidden/>
          </w:rPr>
          <w:fldChar w:fldCharType="separate"/>
        </w:r>
        <w:r w:rsidR="000264AC">
          <w:rPr>
            <w:webHidden/>
          </w:rPr>
          <w:t>11</w:t>
        </w:r>
        <w:r w:rsidR="000264AC">
          <w:rPr>
            <w:webHidden/>
          </w:rPr>
          <w:fldChar w:fldCharType="end"/>
        </w:r>
      </w:hyperlink>
    </w:p>
    <w:p w14:paraId="4240A528" w14:textId="3420E919" w:rsidR="000264AC" w:rsidRDefault="00614304">
      <w:pPr>
        <w:pStyle w:val="TOC1"/>
        <w:rPr>
          <w:rFonts w:asciiTheme="minorHAnsi" w:eastAsiaTheme="minorEastAsia" w:hAnsiTheme="minorHAnsi" w:cstheme="minorBidi"/>
          <w:bCs w:val="0"/>
          <w:color w:val="auto"/>
          <w:szCs w:val="24"/>
          <w:lang w:eastAsia="en-GB"/>
        </w:rPr>
      </w:pPr>
      <w:hyperlink w:anchor="_Toc36479641" w:history="1">
        <w:r w:rsidR="000264AC" w:rsidRPr="003028D5">
          <w:rPr>
            <w:rStyle w:val="Hyperlink"/>
          </w:rPr>
          <w:t>9</w:t>
        </w:r>
        <w:r w:rsidR="000264AC">
          <w:rPr>
            <w:rFonts w:asciiTheme="minorHAnsi" w:eastAsiaTheme="minorEastAsia" w:hAnsiTheme="minorHAnsi" w:cstheme="minorBidi"/>
            <w:bCs w:val="0"/>
            <w:color w:val="auto"/>
            <w:szCs w:val="24"/>
            <w:lang w:eastAsia="en-GB"/>
          </w:rPr>
          <w:tab/>
        </w:r>
        <w:r w:rsidR="000264AC" w:rsidRPr="003028D5">
          <w:rPr>
            <w:rStyle w:val="Hyperlink"/>
          </w:rPr>
          <w:t>Data management</w:t>
        </w:r>
        <w:r w:rsidR="000264AC">
          <w:rPr>
            <w:webHidden/>
          </w:rPr>
          <w:tab/>
        </w:r>
        <w:r w:rsidR="000264AC">
          <w:rPr>
            <w:webHidden/>
          </w:rPr>
          <w:fldChar w:fldCharType="begin"/>
        </w:r>
        <w:r w:rsidR="000264AC">
          <w:rPr>
            <w:webHidden/>
          </w:rPr>
          <w:instrText xml:space="preserve"> PAGEREF _Toc36479641 \h </w:instrText>
        </w:r>
        <w:r w:rsidR="000264AC">
          <w:rPr>
            <w:webHidden/>
          </w:rPr>
        </w:r>
        <w:r w:rsidR="000264AC">
          <w:rPr>
            <w:webHidden/>
          </w:rPr>
          <w:fldChar w:fldCharType="separate"/>
        </w:r>
        <w:r w:rsidR="000264AC">
          <w:rPr>
            <w:webHidden/>
          </w:rPr>
          <w:t>12</w:t>
        </w:r>
        <w:r w:rsidR="000264AC">
          <w:rPr>
            <w:webHidden/>
          </w:rPr>
          <w:fldChar w:fldCharType="end"/>
        </w:r>
      </w:hyperlink>
    </w:p>
    <w:p w14:paraId="450CD416" w14:textId="08B2E914" w:rsidR="000264AC" w:rsidRDefault="00614304">
      <w:pPr>
        <w:pStyle w:val="TOC1"/>
        <w:rPr>
          <w:rFonts w:asciiTheme="minorHAnsi" w:eastAsiaTheme="minorEastAsia" w:hAnsiTheme="minorHAnsi" w:cstheme="minorBidi"/>
          <w:bCs w:val="0"/>
          <w:color w:val="auto"/>
          <w:szCs w:val="24"/>
          <w:lang w:eastAsia="en-GB"/>
        </w:rPr>
      </w:pPr>
      <w:hyperlink w:anchor="_Toc36479642" w:history="1">
        <w:r w:rsidR="000264AC" w:rsidRPr="003028D5">
          <w:rPr>
            <w:rStyle w:val="Hyperlink"/>
          </w:rPr>
          <w:t>10</w:t>
        </w:r>
        <w:r w:rsidR="000264AC">
          <w:rPr>
            <w:rFonts w:asciiTheme="minorHAnsi" w:eastAsiaTheme="minorEastAsia" w:hAnsiTheme="minorHAnsi" w:cstheme="minorBidi"/>
            <w:bCs w:val="0"/>
            <w:color w:val="auto"/>
            <w:szCs w:val="24"/>
            <w:lang w:eastAsia="en-GB"/>
          </w:rPr>
          <w:tab/>
        </w:r>
        <w:r w:rsidR="000264AC" w:rsidRPr="003028D5">
          <w:rPr>
            <w:rStyle w:val="Hyperlink"/>
          </w:rPr>
          <w:t>Monitoring and quality assurance</w:t>
        </w:r>
        <w:r w:rsidR="000264AC">
          <w:rPr>
            <w:webHidden/>
          </w:rPr>
          <w:tab/>
        </w:r>
        <w:r w:rsidR="000264AC">
          <w:rPr>
            <w:webHidden/>
          </w:rPr>
          <w:fldChar w:fldCharType="begin"/>
        </w:r>
        <w:r w:rsidR="000264AC">
          <w:rPr>
            <w:webHidden/>
          </w:rPr>
          <w:instrText xml:space="preserve"> PAGEREF _Toc36479642 \h </w:instrText>
        </w:r>
        <w:r w:rsidR="000264AC">
          <w:rPr>
            <w:webHidden/>
          </w:rPr>
        </w:r>
        <w:r w:rsidR="000264AC">
          <w:rPr>
            <w:webHidden/>
          </w:rPr>
          <w:fldChar w:fldCharType="separate"/>
        </w:r>
        <w:r w:rsidR="000264AC">
          <w:rPr>
            <w:webHidden/>
          </w:rPr>
          <w:t>14</w:t>
        </w:r>
        <w:r w:rsidR="000264AC">
          <w:rPr>
            <w:webHidden/>
          </w:rPr>
          <w:fldChar w:fldCharType="end"/>
        </w:r>
      </w:hyperlink>
    </w:p>
    <w:p w14:paraId="183120B1" w14:textId="0AE34290" w:rsidR="000264AC" w:rsidRDefault="00614304">
      <w:pPr>
        <w:pStyle w:val="TOC1"/>
        <w:rPr>
          <w:rFonts w:asciiTheme="minorHAnsi" w:eastAsiaTheme="minorEastAsia" w:hAnsiTheme="minorHAnsi" w:cstheme="minorBidi"/>
          <w:bCs w:val="0"/>
          <w:color w:val="auto"/>
          <w:szCs w:val="24"/>
          <w:lang w:eastAsia="en-GB"/>
        </w:rPr>
      </w:pPr>
      <w:hyperlink w:anchor="_Toc36479643" w:history="1">
        <w:r w:rsidR="000264AC" w:rsidRPr="003028D5">
          <w:rPr>
            <w:rStyle w:val="Hyperlink"/>
          </w:rPr>
          <w:t>11</w:t>
        </w:r>
        <w:r w:rsidR="000264AC">
          <w:rPr>
            <w:rFonts w:asciiTheme="minorHAnsi" w:eastAsiaTheme="minorEastAsia" w:hAnsiTheme="minorHAnsi" w:cstheme="minorBidi"/>
            <w:bCs w:val="0"/>
            <w:color w:val="auto"/>
            <w:szCs w:val="24"/>
            <w:lang w:eastAsia="en-GB"/>
          </w:rPr>
          <w:tab/>
        </w:r>
        <w:r w:rsidR="000264AC" w:rsidRPr="003028D5">
          <w:rPr>
            <w:rStyle w:val="Hyperlink"/>
          </w:rPr>
          <w:t>Ethical considerations</w:t>
        </w:r>
        <w:r w:rsidR="000264AC">
          <w:rPr>
            <w:webHidden/>
          </w:rPr>
          <w:tab/>
        </w:r>
        <w:r w:rsidR="000264AC">
          <w:rPr>
            <w:webHidden/>
          </w:rPr>
          <w:fldChar w:fldCharType="begin"/>
        </w:r>
        <w:r w:rsidR="000264AC">
          <w:rPr>
            <w:webHidden/>
          </w:rPr>
          <w:instrText xml:space="preserve"> PAGEREF _Toc36479643 \h </w:instrText>
        </w:r>
        <w:r w:rsidR="000264AC">
          <w:rPr>
            <w:webHidden/>
          </w:rPr>
        </w:r>
        <w:r w:rsidR="000264AC">
          <w:rPr>
            <w:webHidden/>
          </w:rPr>
          <w:fldChar w:fldCharType="separate"/>
        </w:r>
        <w:r w:rsidR="000264AC">
          <w:rPr>
            <w:webHidden/>
          </w:rPr>
          <w:t>15</w:t>
        </w:r>
        <w:r w:rsidR="000264AC">
          <w:rPr>
            <w:webHidden/>
          </w:rPr>
          <w:fldChar w:fldCharType="end"/>
        </w:r>
      </w:hyperlink>
    </w:p>
    <w:p w14:paraId="2FBFF1D4" w14:textId="333F46A0" w:rsidR="000264AC" w:rsidRDefault="00614304">
      <w:pPr>
        <w:pStyle w:val="TOC1"/>
        <w:rPr>
          <w:rFonts w:asciiTheme="minorHAnsi" w:eastAsiaTheme="minorEastAsia" w:hAnsiTheme="minorHAnsi" w:cstheme="minorBidi"/>
          <w:bCs w:val="0"/>
          <w:color w:val="auto"/>
          <w:szCs w:val="24"/>
          <w:lang w:eastAsia="en-GB"/>
        </w:rPr>
      </w:pPr>
      <w:hyperlink w:anchor="_Toc36479644" w:history="1">
        <w:r w:rsidR="000264AC" w:rsidRPr="003028D5">
          <w:rPr>
            <w:rStyle w:val="Hyperlink"/>
          </w:rPr>
          <w:t>12</w:t>
        </w:r>
        <w:r w:rsidR="000264AC">
          <w:rPr>
            <w:rFonts w:asciiTheme="minorHAnsi" w:eastAsiaTheme="minorEastAsia" w:hAnsiTheme="minorHAnsi" w:cstheme="minorBidi"/>
            <w:bCs w:val="0"/>
            <w:color w:val="auto"/>
            <w:szCs w:val="24"/>
            <w:lang w:eastAsia="en-GB"/>
          </w:rPr>
          <w:tab/>
        </w:r>
        <w:r w:rsidR="000264AC" w:rsidRPr="003028D5">
          <w:rPr>
            <w:rStyle w:val="Hyperlink"/>
          </w:rPr>
          <w:t>Dissemination policy</w:t>
        </w:r>
        <w:r w:rsidR="000264AC">
          <w:rPr>
            <w:webHidden/>
          </w:rPr>
          <w:tab/>
        </w:r>
        <w:r w:rsidR="000264AC">
          <w:rPr>
            <w:webHidden/>
          </w:rPr>
          <w:fldChar w:fldCharType="begin"/>
        </w:r>
        <w:r w:rsidR="000264AC">
          <w:rPr>
            <w:webHidden/>
          </w:rPr>
          <w:instrText xml:space="preserve"> PAGEREF _Toc36479644 \h </w:instrText>
        </w:r>
        <w:r w:rsidR="000264AC">
          <w:rPr>
            <w:webHidden/>
          </w:rPr>
        </w:r>
        <w:r w:rsidR="000264AC">
          <w:rPr>
            <w:webHidden/>
          </w:rPr>
          <w:fldChar w:fldCharType="separate"/>
        </w:r>
        <w:r w:rsidR="000264AC">
          <w:rPr>
            <w:webHidden/>
          </w:rPr>
          <w:t>16</w:t>
        </w:r>
        <w:r w:rsidR="000264AC">
          <w:rPr>
            <w:webHidden/>
          </w:rPr>
          <w:fldChar w:fldCharType="end"/>
        </w:r>
      </w:hyperlink>
    </w:p>
    <w:p w14:paraId="71AD2F73" w14:textId="37D59158" w:rsidR="000264AC" w:rsidRDefault="00614304">
      <w:pPr>
        <w:pStyle w:val="TOC1"/>
        <w:rPr>
          <w:rFonts w:asciiTheme="minorHAnsi" w:eastAsiaTheme="minorEastAsia" w:hAnsiTheme="minorHAnsi" w:cstheme="minorBidi"/>
          <w:bCs w:val="0"/>
          <w:color w:val="auto"/>
          <w:szCs w:val="24"/>
          <w:lang w:eastAsia="en-GB"/>
        </w:rPr>
      </w:pPr>
      <w:hyperlink w:anchor="_Toc36479645" w:history="1">
        <w:r w:rsidR="000264AC" w:rsidRPr="003028D5">
          <w:rPr>
            <w:rStyle w:val="Hyperlink"/>
          </w:rPr>
          <w:t>13</w:t>
        </w:r>
        <w:r w:rsidR="000264AC">
          <w:rPr>
            <w:rFonts w:asciiTheme="minorHAnsi" w:eastAsiaTheme="minorEastAsia" w:hAnsiTheme="minorHAnsi" w:cstheme="minorBidi"/>
            <w:bCs w:val="0"/>
            <w:color w:val="auto"/>
            <w:szCs w:val="24"/>
            <w:lang w:eastAsia="en-GB"/>
          </w:rPr>
          <w:tab/>
        </w:r>
        <w:r w:rsidR="000264AC" w:rsidRPr="003028D5">
          <w:rPr>
            <w:rStyle w:val="Hyperlink"/>
          </w:rPr>
          <w:t>References</w:t>
        </w:r>
        <w:r w:rsidR="000264AC">
          <w:rPr>
            <w:webHidden/>
          </w:rPr>
          <w:tab/>
        </w:r>
        <w:r w:rsidR="000264AC">
          <w:rPr>
            <w:webHidden/>
          </w:rPr>
          <w:fldChar w:fldCharType="begin"/>
        </w:r>
        <w:r w:rsidR="000264AC">
          <w:rPr>
            <w:webHidden/>
          </w:rPr>
          <w:instrText xml:space="preserve"> PAGEREF _Toc36479645 \h </w:instrText>
        </w:r>
        <w:r w:rsidR="000264AC">
          <w:rPr>
            <w:webHidden/>
          </w:rPr>
        </w:r>
        <w:r w:rsidR="000264AC">
          <w:rPr>
            <w:webHidden/>
          </w:rPr>
          <w:fldChar w:fldCharType="separate"/>
        </w:r>
        <w:r w:rsidR="000264AC">
          <w:rPr>
            <w:webHidden/>
          </w:rPr>
          <w:t>17</w:t>
        </w:r>
        <w:r w:rsidR="000264AC">
          <w:rPr>
            <w:webHidden/>
          </w:rPr>
          <w:fldChar w:fldCharType="end"/>
        </w:r>
      </w:hyperlink>
    </w:p>
    <w:p w14:paraId="1C023C06" w14:textId="663F5027" w:rsidR="000264AC" w:rsidRDefault="00614304">
      <w:pPr>
        <w:pStyle w:val="TOC1"/>
        <w:rPr>
          <w:rFonts w:asciiTheme="minorHAnsi" w:eastAsiaTheme="minorEastAsia" w:hAnsiTheme="minorHAnsi" w:cstheme="minorBidi"/>
          <w:bCs w:val="0"/>
          <w:color w:val="auto"/>
          <w:szCs w:val="24"/>
          <w:lang w:eastAsia="en-GB"/>
        </w:rPr>
      </w:pPr>
      <w:hyperlink w:anchor="_Toc36479646" w:history="1">
        <w:r w:rsidR="000264AC" w:rsidRPr="003028D5">
          <w:rPr>
            <w:rStyle w:val="Hyperlink"/>
          </w:rPr>
          <w:t>14</w:t>
        </w:r>
        <w:r w:rsidR="000264AC">
          <w:rPr>
            <w:rFonts w:asciiTheme="minorHAnsi" w:eastAsiaTheme="minorEastAsia" w:hAnsiTheme="minorHAnsi" w:cstheme="minorBidi"/>
            <w:bCs w:val="0"/>
            <w:color w:val="auto"/>
            <w:szCs w:val="24"/>
            <w:lang w:eastAsia="en-GB"/>
          </w:rPr>
          <w:tab/>
        </w:r>
        <w:r w:rsidR="000264AC" w:rsidRPr="003028D5">
          <w:rPr>
            <w:rStyle w:val="Hyperlink"/>
          </w:rPr>
          <w:t>Appendix 1</w:t>
        </w:r>
        <w:r w:rsidR="000264AC">
          <w:rPr>
            <w:webHidden/>
          </w:rPr>
          <w:tab/>
        </w:r>
        <w:r w:rsidR="000264AC">
          <w:rPr>
            <w:webHidden/>
          </w:rPr>
          <w:fldChar w:fldCharType="begin"/>
        </w:r>
        <w:r w:rsidR="000264AC">
          <w:rPr>
            <w:webHidden/>
          </w:rPr>
          <w:instrText xml:space="preserve"> PAGEREF _Toc36479646 \h </w:instrText>
        </w:r>
        <w:r w:rsidR="000264AC">
          <w:rPr>
            <w:webHidden/>
          </w:rPr>
        </w:r>
        <w:r w:rsidR="000264AC">
          <w:rPr>
            <w:webHidden/>
          </w:rPr>
          <w:fldChar w:fldCharType="separate"/>
        </w:r>
        <w:r w:rsidR="000264AC">
          <w:rPr>
            <w:webHidden/>
          </w:rPr>
          <w:t>18</w:t>
        </w:r>
        <w:r w:rsidR="000264AC">
          <w:rPr>
            <w:webHidden/>
          </w:rPr>
          <w:fldChar w:fldCharType="end"/>
        </w:r>
      </w:hyperlink>
    </w:p>
    <w:p w14:paraId="44A4BC06" w14:textId="1CC585BA" w:rsidR="002941CD" w:rsidRPr="00F7018E" w:rsidRDefault="0026007F" w:rsidP="000A57A3">
      <w:r>
        <w:fldChar w:fldCharType="end"/>
      </w:r>
      <w:r>
        <w:br w:type="page"/>
      </w:r>
    </w:p>
    <w:p w14:paraId="0F8CAB06" w14:textId="3D0D11BC" w:rsidR="00570FB0" w:rsidRDefault="00570FB0" w:rsidP="000A57A3">
      <w:pPr>
        <w:pStyle w:val="Heading1"/>
      </w:pPr>
      <w:bookmarkStart w:id="0" w:name="_Toc36479633"/>
      <w:r>
        <w:lastRenderedPageBreak/>
        <w:t>Version history</w:t>
      </w:r>
      <w:bookmarkEnd w:id="0"/>
    </w:p>
    <w:tbl>
      <w:tblPr>
        <w:tblStyle w:val="TableGrid"/>
        <w:tblW w:w="0" w:type="auto"/>
        <w:tblLook w:val="04A0" w:firstRow="1" w:lastRow="0" w:firstColumn="1" w:lastColumn="0" w:noHBand="0" w:noVBand="1"/>
      </w:tblPr>
      <w:tblGrid>
        <w:gridCol w:w="2096"/>
        <w:gridCol w:w="1761"/>
        <w:gridCol w:w="4410"/>
      </w:tblGrid>
      <w:tr w:rsidR="00570FB0" w:rsidRPr="00602AEF" w14:paraId="092A94E4" w14:textId="77777777" w:rsidTr="00CC479F">
        <w:tc>
          <w:tcPr>
            <w:tcW w:w="2096" w:type="dxa"/>
          </w:tcPr>
          <w:p w14:paraId="3B68B213" w14:textId="77777777" w:rsidR="00570FB0" w:rsidRPr="00602AEF" w:rsidRDefault="00570FB0" w:rsidP="000A57A3">
            <w:pPr>
              <w:pStyle w:val="NoSpacing"/>
              <w:rPr>
                <w:rStyle w:val="Strong"/>
              </w:rPr>
            </w:pPr>
            <w:r w:rsidRPr="00602AEF">
              <w:rPr>
                <w:rStyle w:val="Strong"/>
              </w:rPr>
              <w:t>Protocol version no.</w:t>
            </w:r>
          </w:p>
        </w:tc>
        <w:tc>
          <w:tcPr>
            <w:tcW w:w="1761" w:type="dxa"/>
          </w:tcPr>
          <w:p w14:paraId="3A846881" w14:textId="77777777" w:rsidR="00570FB0" w:rsidRPr="00602AEF" w:rsidRDefault="00570FB0" w:rsidP="000A57A3">
            <w:pPr>
              <w:pStyle w:val="NoSpacing"/>
              <w:rPr>
                <w:rStyle w:val="Strong"/>
              </w:rPr>
            </w:pPr>
            <w:r w:rsidRPr="00602AEF">
              <w:rPr>
                <w:rStyle w:val="Strong"/>
              </w:rPr>
              <w:t>Date</w:t>
            </w:r>
          </w:p>
        </w:tc>
        <w:tc>
          <w:tcPr>
            <w:tcW w:w="4410" w:type="dxa"/>
          </w:tcPr>
          <w:p w14:paraId="04AA0265" w14:textId="77777777" w:rsidR="00570FB0" w:rsidRPr="00602AEF" w:rsidRDefault="00570FB0" w:rsidP="000A57A3">
            <w:pPr>
              <w:pStyle w:val="NoSpacing"/>
              <w:rPr>
                <w:rStyle w:val="Strong"/>
              </w:rPr>
            </w:pPr>
            <w:r w:rsidRPr="00602AEF">
              <w:rPr>
                <w:rStyle w:val="Strong"/>
              </w:rPr>
              <w:t>Version</w:t>
            </w:r>
          </w:p>
        </w:tc>
      </w:tr>
      <w:tr w:rsidR="00570FB0" w:rsidRPr="008A1E16" w14:paraId="008A4F21" w14:textId="77777777" w:rsidTr="00CC479F">
        <w:tc>
          <w:tcPr>
            <w:tcW w:w="2096" w:type="dxa"/>
          </w:tcPr>
          <w:p w14:paraId="419EAB25" w14:textId="3C36BD78" w:rsidR="00570FB0" w:rsidRPr="008A1E16" w:rsidRDefault="00570FB0" w:rsidP="000A57A3">
            <w:pPr>
              <w:pStyle w:val="NoSpacing"/>
            </w:pPr>
            <w:r w:rsidRPr="008A1E16">
              <w:t>0.</w:t>
            </w:r>
            <w:r>
              <w:t>1</w:t>
            </w:r>
          </w:p>
        </w:tc>
        <w:tc>
          <w:tcPr>
            <w:tcW w:w="1761" w:type="dxa"/>
          </w:tcPr>
          <w:p w14:paraId="7F188CBE" w14:textId="60EFFF4F" w:rsidR="00570FB0" w:rsidRPr="008A1E16" w:rsidRDefault="00570FB0" w:rsidP="000A57A3">
            <w:pPr>
              <w:pStyle w:val="NoSpacing"/>
            </w:pPr>
            <w:r>
              <w:t>24</w:t>
            </w:r>
            <w:r w:rsidRPr="008A1E16">
              <w:t>/</w:t>
            </w:r>
            <w:r w:rsidR="007F0A97">
              <w:t>Mar</w:t>
            </w:r>
            <w:r w:rsidRPr="008A1E16">
              <w:t>/</w:t>
            </w:r>
            <w:r>
              <w:t>2020</w:t>
            </w:r>
          </w:p>
        </w:tc>
        <w:tc>
          <w:tcPr>
            <w:tcW w:w="4410" w:type="dxa"/>
          </w:tcPr>
          <w:p w14:paraId="6BDC6136" w14:textId="2CF86A16" w:rsidR="00570FB0" w:rsidRPr="008A1E16" w:rsidRDefault="00570FB0" w:rsidP="000A57A3">
            <w:pPr>
              <w:pStyle w:val="NoSpacing"/>
            </w:pPr>
            <w:r>
              <w:t>First draft</w:t>
            </w:r>
          </w:p>
        </w:tc>
      </w:tr>
      <w:tr w:rsidR="00CC479F" w:rsidRPr="008A1E16" w14:paraId="58434642" w14:textId="77777777" w:rsidTr="00CC479F">
        <w:tc>
          <w:tcPr>
            <w:tcW w:w="2096" w:type="dxa"/>
          </w:tcPr>
          <w:p w14:paraId="730D841F" w14:textId="0A6823E8" w:rsidR="00CC479F" w:rsidRPr="008A1E16" w:rsidRDefault="00CC479F" w:rsidP="00B67B02">
            <w:pPr>
              <w:pStyle w:val="NoSpacing"/>
            </w:pPr>
            <w:r>
              <w:t>1.0</w:t>
            </w:r>
          </w:p>
        </w:tc>
        <w:tc>
          <w:tcPr>
            <w:tcW w:w="1761" w:type="dxa"/>
          </w:tcPr>
          <w:p w14:paraId="689280BC" w14:textId="5E15B010" w:rsidR="00CC479F" w:rsidRPr="008A1E16" w:rsidRDefault="00CC479F" w:rsidP="00B67B02">
            <w:pPr>
              <w:pStyle w:val="NoSpacing"/>
            </w:pPr>
            <w:r>
              <w:t>30</w:t>
            </w:r>
            <w:r w:rsidRPr="008A1E16">
              <w:t>/</w:t>
            </w:r>
            <w:r w:rsidR="007F0A97">
              <w:t>Mar</w:t>
            </w:r>
            <w:r w:rsidRPr="008A1E16">
              <w:t>/</w:t>
            </w:r>
            <w:r>
              <w:t>2020</w:t>
            </w:r>
          </w:p>
        </w:tc>
        <w:tc>
          <w:tcPr>
            <w:tcW w:w="4410" w:type="dxa"/>
          </w:tcPr>
          <w:p w14:paraId="5761A6A7" w14:textId="33C3E3E8" w:rsidR="00CC479F" w:rsidRPr="008A1E16" w:rsidRDefault="00CC479F" w:rsidP="00B67B02">
            <w:pPr>
              <w:pStyle w:val="NoSpacing"/>
            </w:pPr>
            <w:r>
              <w:t>Project management team approval</w:t>
            </w:r>
          </w:p>
        </w:tc>
      </w:tr>
      <w:tr w:rsidR="00570FB0" w:rsidRPr="008A1E16" w14:paraId="79E83883" w14:textId="77777777" w:rsidTr="00CC479F">
        <w:tc>
          <w:tcPr>
            <w:tcW w:w="2096" w:type="dxa"/>
          </w:tcPr>
          <w:p w14:paraId="550A57DD" w14:textId="4F1FC989" w:rsidR="00570FB0" w:rsidRPr="008A1E16" w:rsidRDefault="00BC2447" w:rsidP="000A57A3">
            <w:pPr>
              <w:pStyle w:val="NoSpacing"/>
            </w:pPr>
            <w:r>
              <w:t>1.1</w:t>
            </w:r>
          </w:p>
        </w:tc>
        <w:tc>
          <w:tcPr>
            <w:tcW w:w="1761" w:type="dxa"/>
          </w:tcPr>
          <w:p w14:paraId="08D99FF1" w14:textId="3CB8744F" w:rsidR="00570FB0" w:rsidRPr="008A1E16" w:rsidRDefault="00BC2447" w:rsidP="000A57A3">
            <w:pPr>
              <w:pStyle w:val="NoSpacing"/>
            </w:pPr>
            <w:r>
              <w:t>07/</w:t>
            </w:r>
            <w:r w:rsidR="007F0A97">
              <w:t>Apr</w:t>
            </w:r>
            <w:r>
              <w:t>/2020</w:t>
            </w:r>
          </w:p>
        </w:tc>
        <w:tc>
          <w:tcPr>
            <w:tcW w:w="4410" w:type="dxa"/>
          </w:tcPr>
          <w:p w14:paraId="1FD999A6" w14:textId="1CF96FF5" w:rsidR="00570FB0" w:rsidRPr="008A1E16" w:rsidRDefault="00BC2447" w:rsidP="000A57A3">
            <w:pPr>
              <w:pStyle w:val="NoSpacing"/>
            </w:pPr>
            <w:r>
              <w:t>Incorporating investigations into objectives</w:t>
            </w:r>
          </w:p>
        </w:tc>
      </w:tr>
      <w:tr w:rsidR="007F0A97" w:rsidRPr="008A1E16" w14:paraId="72470729" w14:textId="77777777" w:rsidTr="00CC479F">
        <w:tc>
          <w:tcPr>
            <w:tcW w:w="2096" w:type="dxa"/>
          </w:tcPr>
          <w:p w14:paraId="05971065" w14:textId="41F38BDC" w:rsidR="007F0A97" w:rsidRDefault="007F0A97" w:rsidP="000A57A3">
            <w:pPr>
              <w:pStyle w:val="NoSpacing"/>
            </w:pPr>
            <w:r>
              <w:t>1.2</w:t>
            </w:r>
          </w:p>
        </w:tc>
        <w:tc>
          <w:tcPr>
            <w:tcW w:w="1761" w:type="dxa"/>
          </w:tcPr>
          <w:p w14:paraId="0F5C9B88" w14:textId="485B55F3" w:rsidR="007F0A97" w:rsidRDefault="007F0A97" w:rsidP="000A57A3">
            <w:pPr>
              <w:pStyle w:val="NoSpacing"/>
            </w:pPr>
            <w:r>
              <w:t>19/Mar/2021</w:t>
            </w:r>
          </w:p>
        </w:tc>
        <w:tc>
          <w:tcPr>
            <w:tcW w:w="4410" w:type="dxa"/>
          </w:tcPr>
          <w:p w14:paraId="6EC763A8" w14:textId="50E74DA5" w:rsidR="007F0A97" w:rsidRDefault="007F0A97" w:rsidP="000A57A3">
            <w:pPr>
              <w:pStyle w:val="NoSpacing"/>
            </w:pPr>
            <w:r>
              <w:t>Clarifications for submission</w:t>
            </w:r>
          </w:p>
        </w:tc>
      </w:tr>
    </w:tbl>
    <w:p w14:paraId="396E38FB" w14:textId="548CCD4C" w:rsidR="00570FB0" w:rsidRDefault="00570FB0" w:rsidP="000A57A3"/>
    <w:p w14:paraId="38ACCDD4" w14:textId="497F2231" w:rsidR="00570FB0" w:rsidRDefault="00570FB0" w:rsidP="000A57A3">
      <w:pPr>
        <w:pStyle w:val="Heading1"/>
      </w:pPr>
      <w:bookmarkStart w:id="1" w:name="_Toc36479634"/>
      <w:r>
        <w:lastRenderedPageBreak/>
        <w:t>Table of acronyms</w:t>
      </w:r>
      <w:bookmarkEnd w:id="1"/>
    </w:p>
    <w:tbl>
      <w:tblPr>
        <w:tblStyle w:val="TableGrid"/>
        <w:tblW w:w="0" w:type="auto"/>
        <w:tblLook w:val="04A0" w:firstRow="1" w:lastRow="0" w:firstColumn="1" w:lastColumn="0" w:noHBand="0" w:noVBand="1"/>
      </w:tblPr>
      <w:tblGrid>
        <w:gridCol w:w="1363"/>
        <w:gridCol w:w="6904"/>
      </w:tblGrid>
      <w:tr w:rsidR="00987A4D" w:rsidRPr="00171C64" w14:paraId="48E0D476" w14:textId="77777777" w:rsidTr="0011623A">
        <w:tc>
          <w:tcPr>
            <w:tcW w:w="1413" w:type="dxa"/>
          </w:tcPr>
          <w:p w14:paraId="5D873C12" w14:textId="77777777" w:rsidR="00987A4D" w:rsidRPr="00171C64" w:rsidRDefault="00987A4D" w:rsidP="000A57A3">
            <w:pPr>
              <w:pStyle w:val="NoSpacing"/>
              <w:rPr>
                <w:rStyle w:val="Strong"/>
              </w:rPr>
            </w:pPr>
            <w:r w:rsidRPr="00171C64">
              <w:rPr>
                <w:rStyle w:val="Strong"/>
              </w:rPr>
              <w:t>Acronym</w:t>
            </w:r>
          </w:p>
        </w:tc>
        <w:tc>
          <w:tcPr>
            <w:tcW w:w="7602" w:type="dxa"/>
          </w:tcPr>
          <w:p w14:paraId="2818577B" w14:textId="77777777" w:rsidR="00987A4D" w:rsidRPr="00171C64" w:rsidRDefault="00987A4D" w:rsidP="000A57A3">
            <w:pPr>
              <w:pStyle w:val="NoSpacing"/>
              <w:rPr>
                <w:rStyle w:val="Strong"/>
              </w:rPr>
            </w:pPr>
            <w:r w:rsidRPr="00171C64">
              <w:rPr>
                <w:rStyle w:val="Strong"/>
              </w:rPr>
              <w:t>Meaning</w:t>
            </w:r>
          </w:p>
        </w:tc>
      </w:tr>
      <w:tr w:rsidR="00987A4D" w:rsidRPr="007108BE" w14:paraId="3F6CC4EB" w14:textId="77777777" w:rsidTr="0011623A">
        <w:tc>
          <w:tcPr>
            <w:tcW w:w="1413" w:type="dxa"/>
            <w:vAlign w:val="center"/>
          </w:tcPr>
          <w:p w14:paraId="63D68407" w14:textId="323F7E09" w:rsidR="00987A4D" w:rsidRDefault="00987A4D" w:rsidP="000A57A3">
            <w:pPr>
              <w:pStyle w:val="NoSpacing"/>
            </w:pPr>
            <w:r>
              <w:t>COVID-19</w:t>
            </w:r>
          </w:p>
        </w:tc>
        <w:tc>
          <w:tcPr>
            <w:tcW w:w="7602" w:type="dxa"/>
            <w:vAlign w:val="center"/>
          </w:tcPr>
          <w:p w14:paraId="3793E2B3" w14:textId="159F6740" w:rsidR="00987A4D" w:rsidRDefault="00987A4D" w:rsidP="000A57A3">
            <w:pPr>
              <w:pStyle w:val="NoSpacing"/>
            </w:pPr>
            <w:proofErr w:type="spellStart"/>
            <w:r w:rsidRPr="00987A4D">
              <w:rPr>
                <w:b/>
              </w:rPr>
              <w:t>CO</w:t>
            </w:r>
            <w:r>
              <w:t>rona</w:t>
            </w:r>
            <w:proofErr w:type="spellEnd"/>
            <w:r>
              <w:t xml:space="preserve"> </w:t>
            </w:r>
            <w:proofErr w:type="spellStart"/>
            <w:r w:rsidRPr="00987A4D">
              <w:rPr>
                <w:b/>
              </w:rPr>
              <w:t>VI</w:t>
            </w:r>
            <w:r>
              <w:t>rus</w:t>
            </w:r>
            <w:proofErr w:type="spellEnd"/>
            <w:r>
              <w:t xml:space="preserve"> </w:t>
            </w:r>
            <w:r w:rsidRPr="00987A4D">
              <w:rPr>
                <w:b/>
              </w:rPr>
              <w:t>D</w:t>
            </w:r>
            <w:r>
              <w:t>isease 20</w:t>
            </w:r>
            <w:r w:rsidRPr="00987A4D">
              <w:rPr>
                <w:b/>
              </w:rPr>
              <w:t>19</w:t>
            </w:r>
          </w:p>
        </w:tc>
      </w:tr>
      <w:tr w:rsidR="00987A4D" w:rsidRPr="007108BE" w14:paraId="5BF94149" w14:textId="77777777" w:rsidTr="0011623A">
        <w:tc>
          <w:tcPr>
            <w:tcW w:w="1413" w:type="dxa"/>
            <w:vAlign w:val="center"/>
          </w:tcPr>
          <w:p w14:paraId="2AEFDFEE" w14:textId="77777777" w:rsidR="00987A4D" w:rsidRPr="007108BE" w:rsidRDefault="00987A4D" w:rsidP="000A57A3">
            <w:pPr>
              <w:pStyle w:val="NoSpacing"/>
            </w:pPr>
            <w:r>
              <w:t>eCRF</w:t>
            </w:r>
          </w:p>
        </w:tc>
        <w:tc>
          <w:tcPr>
            <w:tcW w:w="7602" w:type="dxa"/>
            <w:vAlign w:val="center"/>
          </w:tcPr>
          <w:p w14:paraId="4F6E77DD" w14:textId="77777777" w:rsidR="00987A4D" w:rsidRPr="007108BE" w:rsidRDefault="00987A4D" w:rsidP="000A57A3">
            <w:pPr>
              <w:pStyle w:val="NoSpacing"/>
            </w:pPr>
            <w:r>
              <w:t>Electronic case report form</w:t>
            </w:r>
          </w:p>
        </w:tc>
      </w:tr>
      <w:tr w:rsidR="00987A4D" w:rsidRPr="007108BE" w14:paraId="5394DF87" w14:textId="77777777" w:rsidTr="0011623A">
        <w:tc>
          <w:tcPr>
            <w:tcW w:w="1413" w:type="dxa"/>
            <w:vAlign w:val="center"/>
          </w:tcPr>
          <w:p w14:paraId="0B1CFD32" w14:textId="004306C2" w:rsidR="00987A4D" w:rsidRPr="00570FB0" w:rsidRDefault="00987A4D" w:rsidP="000A57A3">
            <w:pPr>
              <w:pStyle w:val="NoSpacing"/>
            </w:pPr>
            <w:r>
              <w:t>H&amp;N</w:t>
            </w:r>
          </w:p>
        </w:tc>
        <w:tc>
          <w:tcPr>
            <w:tcW w:w="7602" w:type="dxa"/>
            <w:vAlign w:val="center"/>
          </w:tcPr>
          <w:p w14:paraId="722A15D7" w14:textId="69D54AE7" w:rsidR="00987A4D" w:rsidRPr="00570FB0" w:rsidRDefault="00987A4D" w:rsidP="000A57A3">
            <w:pPr>
              <w:pStyle w:val="NoSpacing"/>
            </w:pPr>
            <w:r>
              <w:t>Head and neck</w:t>
            </w:r>
          </w:p>
        </w:tc>
      </w:tr>
      <w:tr w:rsidR="00987A4D" w:rsidRPr="007108BE" w14:paraId="64B3718C" w14:textId="77777777" w:rsidTr="0011623A">
        <w:tc>
          <w:tcPr>
            <w:tcW w:w="1413" w:type="dxa"/>
            <w:vAlign w:val="center"/>
          </w:tcPr>
          <w:p w14:paraId="044A6BDC" w14:textId="77777777" w:rsidR="00987A4D" w:rsidRDefault="00987A4D" w:rsidP="000A57A3">
            <w:pPr>
              <w:pStyle w:val="NoSpacing"/>
            </w:pPr>
            <w:r w:rsidRPr="00570FB0">
              <w:t xml:space="preserve">HaNC‐RC </w:t>
            </w:r>
            <w:r>
              <w:t>- v</w:t>
            </w:r>
            <w:r w:rsidRPr="00570FB0">
              <w:t>2</w:t>
            </w:r>
          </w:p>
        </w:tc>
        <w:tc>
          <w:tcPr>
            <w:tcW w:w="7602" w:type="dxa"/>
            <w:vAlign w:val="center"/>
          </w:tcPr>
          <w:p w14:paraId="36187E56" w14:textId="77777777" w:rsidR="00987A4D" w:rsidRDefault="00987A4D" w:rsidP="000A57A3">
            <w:pPr>
              <w:pStyle w:val="NoSpacing"/>
            </w:pPr>
            <w:r w:rsidRPr="00570FB0">
              <w:t xml:space="preserve">Head and neck cancer risk calculator </w:t>
            </w:r>
            <w:r>
              <w:t>- version 2</w:t>
            </w:r>
          </w:p>
        </w:tc>
      </w:tr>
      <w:tr w:rsidR="00987A4D" w:rsidRPr="007108BE" w14:paraId="0EA4E391" w14:textId="77777777" w:rsidTr="0011623A">
        <w:tc>
          <w:tcPr>
            <w:tcW w:w="1413" w:type="dxa"/>
            <w:vAlign w:val="center"/>
          </w:tcPr>
          <w:p w14:paraId="5317EC90" w14:textId="77777777" w:rsidR="00987A4D" w:rsidRPr="00570FB0" w:rsidRDefault="00987A4D" w:rsidP="000A57A3">
            <w:pPr>
              <w:pStyle w:val="NoSpacing"/>
            </w:pPr>
            <w:r>
              <w:t>HRA</w:t>
            </w:r>
          </w:p>
        </w:tc>
        <w:tc>
          <w:tcPr>
            <w:tcW w:w="7602" w:type="dxa"/>
            <w:vAlign w:val="center"/>
          </w:tcPr>
          <w:p w14:paraId="57DB2EF2" w14:textId="77777777" w:rsidR="00987A4D" w:rsidRPr="00570FB0" w:rsidRDefault="00987A4D" w:rsidP="000A57A3">
            <w:pPr>
              <w:pStyle w:val="NoSpacing"/>
            </w:pPr>
            <w:r>
              <w:t>Human Research Authority</w:t>
            </w:r>
          </w:p>
        </w:tc>
      </w:tr>
      <w:tr w:rsidR="00987A4D" w:rsidRPr="007108BE" w14:paraId="727E5363" w14:textId="77777777" w:rsidTr="0011623A">
        <w:tc>
          <w:tcPr>
            <w:tcW w:w="1413" w:type="dxa"/>
            <w:vAlign w:val="center"/>
          </w:tcPr>
          <w:p w14:paraId="5428B44B" w14:textId="77777777" w:rsidR="00987A4D" w:rsidRDefault="00987A4D" w:rsidP="000A57A3">
            <w:pPr>
              <w:pStyle w:val="NoSpacing"/>
            </w:pPr>
            <w:r>
              <w:t>MRN</w:t>
            </w:r>
          </w:p>
        </w:tc>
        <w:tc>
          <w:tcPr>
            <w:tcW w:w="7602" w:type="dxa"/>
            <w:vAlign w:val="center"/>
          </w:tcPr>
          <w:p w14:paraId="38997731" w14:textId="77777777" w:rsidR="00987A4D" w:rsidRDefault="00987A4D" w:rsidP="000A57A3">
            <w:pPr>
              <w:pStyle w:val="NoSpacing"/>
            </w:pPr>
            <w:r>
              <w:t>Medical record number</w:t>
            </w:r>
          </w:p>
        </w:tc>
      </w:tr>
    </w:tbl>
    <w:p w14:paraId="2D4F9D40" w14:textId="77777777" w:rsidR="00570FB0" w:rsidRPr="00570FB0" w:rsidRDefault="00570FB0" w:rsidP="000A57A3"/>
    <w:p w14:paraId="30FE960E" w14:textId="6ADF31F6" w:rsidR="002941CD" w:rsidRPr="0026007F" w:rsidRDefault="00570FB0" w:rsidP="000A57A3">
      <w:pPr>
        <w:pStyle w:val="Heading1"/>
      </w:pPr>
      <w:bookmarkStart w:id="2" w:name="_Toc36479635"/>
      <w:r>
        <w:lastRenderedPageBreak/>
        <w:t>Rationale and b</w:t>
      </w:r>
      <w:r w:rsidR="0026007F" w:rsidRPr="0026007F">
        <w:t>ackground</w:t>
      </w:r>
      <w:r>
        <w:t xml:space="preserve"> information</w:t>
      </w:r>
      <w:bookmarkEnd w:id="2"/>
    </w:p>
    <w:p w14:paraId="00E90D32" w14:textId="5B893E7C" w:rsidR="002941CD" w:rsidRDefault="002941CD" w:rsidP="000A57A3">
      <w:r>
        <w:t xml:space="preserve">The NHS guidance for </w:t>
      </w:r>
      <w:r w:rsidRPr="008B5C83">
        <w:t>managing cancer referrals</w:t>
      </w:r>
      <w:r>
        <w:t xml:space="preserve"> </w:t>
      </w:r>
      <w:r w:rsidRPr="00E87CF8">
        <w:t>during C</w:t>
      </w:r>
      <w:r w:rsidR="00987A4D">
        <w:t>OVID</w:t>
      </w:r>
      <w:r w:rsidRPr="00E87CF8">
        <w:t xml:space="preserve">-19 pandemic </w:t>
      </w:r>
      <w:r>
        <w:t xml:space="preserve">recommend a </w:t>
      </w:r>
      <w:r w:rsidRPr="008B5C83">
        <w:t xml:space="preserve">telephone triage </w:t>
      </w:r>
      <w:r>
        <w:t xml:space="preserve">to </w:t>
      </w:r>
      <w:r w:rsidRPr="008B5C83">
        <w:t>minimise interactions and appointments with health services</w:t>
      </w:r>
      <w:r>
        <w:t xml:space="preserve"> and </w:t>
      </w:r>
      <w:r w:rsidRPr="008B5C83">
        <w:t xml:space="preserve">stream patients </w:t>
      </w:r>
      <w:r>
        <w:t xml:space="preserve">for investigations </w:t>
      </w:r>
      <w:r w:rsidRPr="008B5C83">
        <w:t>where appropriate.</w:t>
      </w:r>
      <w:r w:rsidR="00BB618C">
        <w:fldChar w:fldCharType="begin"/>
      </w:r>
      <w:r w:rsidR="003D0ACA">
        <w:instrText xml:space="preserve"> ADDIN ZOTERO_ITEM CSL_CITATION {"citationID":"NyYq4dxH","properties":{"formattedCitation":"\\super 1\\nosupersub{}","plainCitation":"1","noteIndex":0},"citationItems":[{"id":36786,"uris":["http://zotero.org/users/1253570/items/UNZ2ZAP8"],"uri":["http://zotero.org/users/1253570/items/UNZ2ZAP8"],"itemData":{"id":36786,"type":"personal_communication","abstract":"Letter to all cancer alliances providing guidance on managing cancer referrals.","genre":"Letter","language":"English","title":"Cancer alliance information on managing cancer referrals","URL":"https://www.england.nhs.uk/coronavirus/wp-content/uploads/sites/52/2020/03/cancer-alliance-information-on-managing-cancer-referrals-19-march-2020.pdf","author":[{"literal":"NHS England and NHS Improvement coronavirus"}],"accessed":{"date-parts":[["2020",3,24]]},"issued":{"date-parts":[["2020",3,20]]}}}],"schema":"https://github.com/citation-style-language/schema/raw/master/csl-citation.json"} </w:instrText>
      </w:r>
      <w:r w:rsidR="00BB618C">
        <w:fldChar w:fldCharType="separate"/>
      </w:r>
      <w:r w:rsidR="003D0ACA" w:rsidRPr="003D0ACA">
        <w:rPr>
          <w:rFonts w:ascii="Calibri Light" w:cs="Calibri Light"/>
          <w:color w:val="000000"/>
          <w:vertAlign w:val="superscript"/>
        </w:rPr>
        <w:t>1</w:t>
      </w:r>
      <w:r w:rsidR="00BB618C">
        <w:fldChar w:fldCharType="end"/>
      </w:r>
      <w:r w:rsidRPr="008B5C83">
        <w:t xml:space="preserve"> </w:t>
      </w:r>
      <w:r>
        <w:t>Additionally, a</w:t>
      </w:r>
      <w:r w:rsidRPr="008B5C83">
        <w:t xml:space="preserve"> telephone appointment with a</w:t>
      </w:r>
      <w:r>
        <w:t xml:space="preserve"> </w:t>
      </w:r>
      <w:r w:rsidRPr="008B5C83">
        <w:t xml:space="preserve">specialist clinician </w:t>
      </w:r>
      <w:r>
        <w:t>is accepted as a first appointment for the p</w:t>
      </w:r>
      <w:r w:rsidRPr="008B5C83">
        <w:t xml:space="preserve">urposes of recording </w:t>
      </w:r>
      <w:r>
        <w:t>c</w:t>
      </w:r>
      <w:r w:rsidRPr="008B5C83">
        <w:t xml:space="preserve">ancer </w:t>
      </w:r>
      <w:r>
        <w:t>w</w:t>
      </w:r>
      <w:r w:rsidRPr="008B5C83">
        <w:t xml:space="preserve">aiting </w:t>
      </w:r>
      <w:r>
        <w:t>t</w:t>
      </w:r>
      <w:r w:rsidRPr="008B5C83">
        <w:t>imes</w:t>
      </w:r>
      <w:r>
        <w:t>. Head and neck cancer referrals pose an additional challenge with most patients needing endoscopic assessment with full scale PPE, as recommended by ENTUK</w:t>
      </w:r>
      <w:r w:rsidR="00BB618C">
        <w:t>.</w:t>
      </w:r>
      <w:r w:rsidR="00BB618C">
        <w:fldChar w:fldCharType="begin"/>
      </w:r>
      <w:r w:rsidR="003D0ACA">
        <w:instrText xml:space="preserve"> ADDIN ZOTERO_ITEM CSL_CITATION {"citationID":"DfF928eE","properties":{"formattedCitation":"\\super 2\\nosupersub{}","plainCitation":"2","noteIndex":0},"citationItems":[{"id":36787,"uris":["http://zotero.org/users/1253570/items/3BU5SKAU"],"uri":["http://zotero.org/users/1253570/items/3BU5SKAU"],"itemData":{"id":36787,"type":"webpage","title":"Guidance for ENT during the COVID-19 pandemic","URL":"https://www.entuk.org/guidance-ent-during-covid-19-pandemic","accessed":{"date-parts":[["2020",3,24]]}}}],"schema":"https://github.com/citation-style-language/schema/raw/master/csl-citation.json"} </w:instrText>
      </w:r>
      <w:r w:rsidR="00BB618C">
        <w:fldChar w:fldCharType="separate"/>
      </w:r>
      <w:r w:rsidR="003D0ACA" w:rsidRPr="003D0ACA">
        <w:rPr>
          <w:rFonts w:ascii="Calibri Light" w:cs="Calibri Light"/>
          <w:color w:val="000000"/>
          <w:vertAlign w:val="superscript"/>
        </w:rPr>
        <w:t>2</w:t>
      </w:r>
      <w:r w:rsidR="00BB618C">
        <w:fldChar w:fldCharType="end"/>
      </w:r>
    </w:p>
    <w:p w14:paraId="6783BC33" w14:textId="3D00D9A9" w:rsidR="002941CD" w:rsidRDefault="002941CD" w:rsidP="000A57A3">
      <w:r>
        <w:t>Most ENT</w:t>
      </w:r>
      <w:r w:rsidR="006A3E51">
        <w:t xml:space="preserve"> </w:t>
      </w:r>
      <w:r>
        <w:t>UK members will be aware of the h</w:t>
      </w:r>
      <w:r w:rsidRPr="004542B5">
        <w:t xml:space="preserve">ead and </w:t>
      </w:r>
      <w:r>
        <w:t>n</w:t>
      </w:r>
      <w:r w:rsidRPr="004542B5">
        <w:t>eck cancer risk calculator</w:t>
      </w:r>
      <w:r>
        <w:t xml:space="preserve"> that has been generated and iteratively validated using data from over 10,000 patients across the UK.</w:t>
      </w:r>
      <w:r w:rsidR="00BB618C">
        <w:fldChar w:fldCharType="begin"/>
      </w:r>
      <w:r w:rsidR="003D0ACA">
        <w:instrText xml:space="preserve"> ADDIN ZOTERO_ITEM CSL_CITATION {"citationID":"BDtBHUK7","properties":{"formattedCitation":"\\super 3\\uc0\\u8211{}5\\nosupersub{}","plainCitation":"3–5","noteIndex":0},"citationItems":[{"id":36795,"uris":["http://zotero.org/users/1253570/items/TEWH7W34"],"uri":["http://zotero.org/users/1253570/items/TEWH7W34"],"itemData":{"id":36795,"type":"article-journal","abstract":"OBJECTIVES: To identify the set of referral criteria that will offer optimal diagnostic efficacy in patients suspected to have head and neck cancer (HNC) in the primary care setting.\nDESIGN: Statistical analysis of referral criteria and outcomes.\nSETTING: Two tertiary care cancer centres in the United Kingdom.\nPARTICIPANTS: 4715 patients who were referred via the fast-track system with a suspected HNC between 2007 and 2010.\nMAIN OUTCOME MEASURES: Parameters of diagnostic efficacy, multivariate regression model to calculate estimated probability of HNC and area under the receiver operating characteristic curve (AUROC).\nRESULTS: The majority of referring symptoms had a positive predictive value higher than the 3% cut-off point stated to be significant for HNC detection in the 2015 NICE recommendations. Nevertheless, our multivariate analysis identified nine symptoms to be linked with HNC. Of these, only four are included in the latest NICE guidelines. The best fit predictive model for this data set included the following symptoms: hoarseness &gt;3 weeks, dysphagia &gt;3 weeks, odynophagia, unexplained neck mass, oral swelling &gt;3 weeks, oral ulcer &gt;3 weeks, prolonged otalgia with normal otoscopy, the presence of blood in mouth with concurrent sensation of lump in throat and the presence of otalgia with concurrent lump in throat sensation. Intermittent hoarseness and sensation of lump in throat were negatively associated with HNC. The AUROC demonstrated that our model had a higher predictive value (0.77) compared to those generated using the NICE 2005 (0.69) and 2015 (0.68) referral criteria (P &lt; 0.0001). An online risk calculator based on this study is available at http://www.orlhealth.com/risk-calculator.html.\nCONCLUSIONS: This study presents a significantly refined version of referral guidelines which demonstrate greater diagnostic efficacy than the current NICE guidelines. We recommend that further iterative refinements of referral criteria be considered when referring patients with suspected HNC.","container-title":"Clinical otolaryngology: official journal of ENT-UK ; official journal of Netherlands Society for Oto-Rhino-Laryngology &amp; Cervico-Facial Surgery","DOI":"10/f8ngs8","ISSN":"1749-4486","issue":"1","journalAbbreviation":"Clin Otolaryngol","language":"eng","note":"PMID: 26611658","page":"66-75","source":"PubMed","title":"Refining the head and neck cancer referral guidelines: a two-centre analysis of 4715 referrals","title-short":"Refining the head and neck cancer referral guidelines","volume":"41","author":[{"family":"Tikka","given":"T."},{"family":"Pracy","given":"P."},{"family":"Paleri","given":"V."}],"issued":{"date-parts":[["2016",2]]}}},{"id":36793,"uris":["http://zotero.org/users/1253570/items/RZLF3SHN"],"uri":["http://zotero.org/users/1253570/items/RZLF3SHN"],"itemData":{"id":36793,"type":"article-journal","container-title":"Clinical otolaryngology: official journal of ENT-UK ; official journal of Netherlands Society for Oto-Rhino-Laryngology &amp; Cervico-Facial Surgery","DOI":"10/ggpvpm","ISSN":"1749-4486","issue":"2","journalAbbreviation":"Clin Otolaryngol","language":"eng","note":"PMID: 29054125","page":"714-717","source":"PubMed","title":"External validation of a cancer risk prediction model for suspected head and neck cancer referrals","volume":"43","author":[{"family":"Tikka","given":"T."},{"family":"Paleri","given":"V."},{"family":"MacKenzie","given":"K."}],"issued":{"date-parts":[["2018"]]}}},{"id":36779,"uris":["http://zotero.org/users/1253570/items/9YJ9K8LU"],"uri":["http://zotero.org/users/1253570/items/9YJ9K8LU"],"itemData":{"id":36779,"type":"article-journal","abstract":"OBJECTIVES: Head and neck cancer (HNC) diagnosis through the 2-week wait, urgent suspicion of cancer (USOC) pathway has failed to increase early cancer detection rates in the UK. A head and neck cancer risk calculator (HaNC-RC) has previously been designed to aid referral of high-risk patients to USOC clinics (predictive power: 77%). Our aim was to refine the HaNC-RC to increase its prediction potential.\nDESIGN: Following sample size calculation, prospective data collection and statistical analysis of referral criteria and outcomes.\nSETTING: Large tertiary care cancer centre in Scotland.\nPARTICIPANTS: 3531 new patients seen in routine, urgent and USOC head and neck (HaN) clinics.\nMAIN OUTCOME MEASURES: Data collected were as follows: demographics, social history, presenting symptoms and signs and HNC diagnosis. Univariate and multivariate regression analysis were performed to identify significant predictors of HNC. Internal validation was performed using 1000 sample bootstrapping to estimate model diagnostics included the area under the receiver operator curve (AUC), sensitivity and specificity.\nRESULTS: The updated version of the risk calculator (HaNC-RC v.2) includes age, gender, unintentional weight loss, smoking, alcohol, positive and negative symptoms and signs of HNC. It has achieved an AUC of 88.6% with two recommended triage referral cut-offs to USOC (cut-off: 7.1%; sensitivity: 85%, specificity: 78.3%) or urgent clinics (cut-off: 2.2%; sensitivity: 97.1%; specificity of 52.9%). This could redistribute cancer detection through USOC clinics from the current 60.9%-85.2%, without affecting total numbers seen in each clinical setting.\nCONCLUSIONS: The use of the HaNC-RC v.2 has a significant potential in both identifying patients at high risk of HNC early thought USOC clinics but also improving health service delivery practices by reducing the number of inappropriately urgent referrals.","container-title":"Clinical otolaryngology: official journal of ENT-UK ; official journal of Netherlands Society for Oto-Rhino-Laryngology &amp; Cervico-Facial Surgery","DOI":"10/ggppw3","ISSN":"1749-4486","journalAbbreviation":"Clin Otolaryngol","language":"eng","note":"PMID: 31985180","source":"PubMed","title":"Head and neck cancer risk calculator (HaNC-RC)-V.2. Adjustments and addition of symptoms and social history factors","author":[{"family":"Tikka","given":"Theofano"},{"family":"Kavanagh","given":"Kimberley"},{"family":"Lowit","given":"Anja"},{"family":"Jiafeng","given":"Pan"},{"family":"Burns","given":"Harry"},{"family":"Nixon","given":"Iain J."},{"family":"Paleri","given":"Vinidh"},{"family":"MacKenzie","given":"Kenneth"}],"issued":{"date-parts":[["2020",1,27]]}}}],"schema":"https://github.com/citation-style-language/schema/raw/master/csl-citation.json"} </w:instrText>
      </w:r>
      <w:r w:rsidR="00BB618C">
        <w:fldChar w:fldCharType="separate"/>
      </w:r>
      <w:r w:rsidR="003D0ACA" w:rsidRPr="003D0ACA">
        <w:rPr>
          <w:rFonts w:ascii="Calibri Light" w:cs="Calibri Light"/>
          <w:color w:val="000000"/>
          <w:vertAlign w:val="superscript"/>
        </w:rPr>
        <w:t>3–5</w:t>
      </w:r>
      <w:r w:rsidR="00BB618C">
        <w:fldChar w:fldCharType="end"/>
      </w:r>
      <w:r>
        <w:t xml:space="preserve"> The calculator uses patient demographics, tobacco and alcohol use, alongside 12 symptoms, all of which can be elicited over the telephone, to provide a robust personalised probability of head and neck cancer. </w:t>
      </w:r>
    </w:p>
    <w:p w14:paraId="20442ECD" w14:textId="38614CD9" w:rsidR="008F6181" w:rsidRDefault="002941CD" w:rsidP="000A57A3">
      <w:r>
        <w:t>ENT</w:t>
      </w:r>
      <w:r w:rsidR="006A3E51">
        <w:t xml:space="preserve"> </w:t>
      </w:r>
      <w:r>
        <w:t xml:space="preserve">UK recommend this </w:t>
      </w:r>
      <w:r w:rsidRPr="000A57A3">
        <w:t>decisio</w:t>
      </w:r>
      <w:r>
        <w:t xml:space="preserve">n-making process be </w:t>
      </w:r>
      <w:r w:rsidR="006A3E51">
        <w:t>used and the data recorded appropriately to allow evaluation of this new service. Patients will be classified as</w:t>
      </w:r>
      <w:r>
        <w:t xml:space="preserve"> low (</w:t>
      </w:r>
      <w:r w:rsidR="000A57A3">
        <w:rPr>
          <w:rFonts w:cstheme="minorHAnsi"/>
        </w:rPr>
        <w:t>&lt;</w:t>
      </w:r>
      <w:r>
        <w:t>7%) or high (</w:t>
      </w:r>
      <w:r>
        <w:rPr>
          <w:rFonts w:cstheme="minorHAnsi"/>
        </w:rPr>
        <w:t>≥</w:t>
      </w:r>
      <w:r>
        <w:t>7%) probability for cancer. Using this probability of 7% as the recommended cut off, the model estimates that the chance of missing cancer in this population by a telephone consultation compared to a routine face to face consultation is 1.4%.</w:t>
      </w:r>
      <w:r w:rsidR="006D187E">
        <w:fldChar w:fldCharType="begin"/>
      </w:r>
      <w:r w:rsidR="003D0ACA">
        <w:instrText xml:space="preserve"> ADDIN ZOTERO_ITEM CSL_CITATION {"citationID":"9bkGv8Zx","properties":{"formattedCitation":"\\super 5\\nosupersub{}","plainCitation":"5","noteIndex":0},"citationItems":[{"id":36779,"uris":["http://zotero.org/users/1253570/items/9YJ9K8LU"],"uri":["http://zotero.org/users/1253570/items/9YJ9K8LU"],"itemData":{"id":36779,"type":"article-journal","abstract":"OBJECTIVES: Head and neck cancer (HNC) diagnosis through the 2-week wait, urgent suspicion of cancer (USOC) pathway has failed to increase early cancer detection rates in the UK. A head and neck cancer risk calculator (HaNC-RC) has previously been designed to aid referral of high-risk patients to USOC clinics (predictive power: 77%). Our aim was to refine the HaNC-RC to increase its prediction potential.\nDESIGN: Following sample size calculation, prospective data collection and statistical analysis of referral criteria and outcomes.\nSETTING: Large tertiary care cancer centre in Scotland.\nPARTICIPANTS: 3531 new patients seen in routine, urgent and USOC head and neck (HaN) clinics.\nMAIN OUTCOME MEASURES: Data collected were as follows: demographics, social history, presenting symptoms and signs and HNC diagnosis. Univariate and multivariate regression analysis were performed to identify significant predictors of HNC. Internal validation was performed using 1000 sample bootstrapping to estimate model diagnostics included the area under the receiver operator curve (AUC), sensitivity and specificity.\nRESULTS: The updated version of the risk calculator (HaNC-RC v.2) includes age, gender, unintentional weight loss, smoking, alcohol, positive and negative symptoms and signs of HNC. It has achieved an AUC of 88.6% with two recommended triage referral cut-offs to USOC (cut-off: 7.1%; sensitivity: 85%, specificity: 78.3%) or urgent clinics (cut-off: 2.2%; sensitivity: 97.1%; specificity of 52.9%). This could redistribute cancer detection through USOC clinics from the current 60.9%-85.2%, without affecting total numbers seen in each clinical setting.\nCONCLUSIONS: The use of the HaNC-RC v.2 has a significant potential in both identifying patients at high risk of HNC early thought USOC clinics but also improving health service delivery practices by reducing the number of inappropriately urgent referrals.","container-title":"Clinical otolaryngology: official journal of ENT-UK ; official journal of Netherlands Society for Oto-Rhino-Laryngology &amp; Cervico-Facial Surgery","DOI":"10/ggppw3","ISSN":"1749-4486","journalAbbreviation":"Clin Otolaryngol","language":"eng","note":"PMID: 31985180","source":"PubMed","title":"Head and neck cancer risk calculator (HaNC-RC)-V.2. Adjustments and addition of symptoms and social history factors","author":[{"family":"Tikka","given":"Theofano"},{"family":"Kavanagh","given":"Kimberley"},{"family":"Lowit","given":"Anja"},{"family":"Jiafeng","given":"Pan"},{"family":"Burns","given":"Harry"},{"family":"Nixon","given":"Iain J."},{"family":"Paleri","given":"Vinidh"},{"family":"MacKenzie","given":"Kenneth"}],"issued":{"date-parts":[["2020",1,27]]}}}],"schema":"https://github.com/citation-style-language/schema/raw/master/csl-citation.json"} </w:instrText>
      </w:r>
      <w:r w:rsidR="006D187E">
        <w:fldChar w:fldCharType="separate"/>
      </w:r>
      <w:r w:rsidR="003D0ACA" w:rsidRPr="003D0ACA">
        <w:rPr>
          <w:rFonts w:ascii="Calibri Light" w:cs="Calibri Light"/>
          <w:color w:val="000000"/>
          <w:vertAlign w:val="superscript"/>
        </w:rPr>
        <w:t>5</w:t>
      </w:r>
      <w:r w:rsidR="006D187E">
        <w:fldChar w:fldCharType="end"/>
      </w:r>
      <w:r>
        <w:t xml:space="preserve"> Low risk patients can have their appointment </w:t>
      </w:r>
      <w:r w:rsidR="006A3E51">
        <w:t>deferred until</w:t>
      </w:r>
      <w:r w:rsidRPr="00E87CF8">
        <w:t xml:space="preserve"> after the pandemic issues have settled</w:t>
      </w:r>
      <w:r w:rsidR="006A3E51">
        <w:t xml:space="preserve"> or be discharged from the service. High risk patients may then be seen in a</w:t>
      </w:r>
      <w:r w:rsidR="006D187E">
        <w:t>n</w:t>
      </w:r>
      <w:r w:rsidR="006A3E51">
        <w:t xml:space="preserve"> urgent </w:t>
      </w:r>
      <w:r>
        <w:t>face to face consultation</w:t>
      </w:r>
      <w:r w:rsidR="006A3E51">
        <w:t>s</w:t>
      </w:r>
      <w:r>
        <w:t xml:space="preserve">.  </w:t>
      </w:r>
    </w:p>
    <w:p w14:paraId="6CACF289" w14:textId="059739A6" w:rsidR="008F6181" w:rsidRDefault="008F6181" w:rsidP="000A57A3">
      <w:r>
        <w:t>The BAHNO National Audit of Head and Neck Cancer Surveillance completed in 2018 with data contributed from over 5,000 follow up appointments taking place in 89 centres across the UK.</w:t>
      </w:r>
      <w:r>
        <w:fldChar w:fldCharType="begin"/>
      </w:r>
      <w:r w:rsidR="003D0ACA">
        <w:instrText xml:space="preserve"> ADDIN ZOTERO_ITEM CSL_CITATION {"citationID":"LV7lbClJ","properties":{"formattedCitation":"\\super 6\\nosupersub{}","plainCitation":"6","noteIndex":0},"citationItems":[{"id":36797,"uris":["http://zotero.org/users/1253570/items/I44E7SEF"],"uri":["http://zotero.org/users/1253570/items/I44E7SEF"],"itemData":{"id":36797,"type":"speech","event":"BAHNO 2019 Annual Scientific Meeting","event-place":"Royal College of Physicians, London, UK","genre":"Presentation","publisher-place":"Royal College of Physicians, London, UK","title":"United Kingdom Head and Neck Cancer Surveillance study 2018 [Presentation]","author":[{"literal":"Hardman J, Tikka T, on behalf of INTEGRATE (The UK ENT Trainee Research Network)"}],"issued":{"date-parts":[["2019",5,17]]}}}],"schema":"https://github.com/citation-style-language/schema/raw/master/csl-citation.json"} </w:instrText>
      </w:r>
      <w:r>
        <w:fldChar w:fldCharType="separate"/>
      </w:r>
      <w:r w:rsidR="003D0ACA" w:rsidRPr="003D0ACA">
        <w:rPr>
          <w:rFonts w:ascii="Calibri Light" w:hAnsi="Calibri Light" w:cs="Calibri Light"/>
          <w:color w:val="000000"/>
          <w:vertAlign w:val="superscript"/>
        </w:rPr>
        <w:t>6</w:t>
      </w:r>
      <w:r>
        <w:fldChar w:fldCharType="end"/>
      </w:r>
      <w:r>
        <w:t xml:space="preserve">  Data from these consultations are currently undergoing peer review, but are made available to help guide follow up consultations in head and neck cancer cases following completion of treatment.</w:t>
      </w:r>
    </w:p>
    <w:p w14:paraId="4C736C24" w14:textId="0FBAF7E3" w:rsidR="002941CD" w:rsidRDefault="008F6181" w:rsidP="000A57A3">
      <w:r>
        <w:t>In both these scenarios, c</w:t>
      </w:r>
      <w:r w:rsidR="002941CD">
        <w:t xml:space="preserve">linical judgement </w:t>
      </w:r>
      <w:r w:rsidR="006A3E51">
        <w:t xml:space="preserve">and patient preference are taken into consideration alongside </w:t>
      </w:r>
      <w:r>
        <w:t>any information provided by the decision aids</w:t>
      </w:r>
      <w:r w:rsidR="006A3E51">
        <w:t>.</w:t>
      </w:r>
      <w:r w:rsidR="002941CD">
        <w:t xml:space="preserve"> </w:t>
      </w:r>
    </w:p>
    <w:p w14:paraId="177C740E" w14:textId="560DB9C3" w:rsidR="002941CD" w:rsidRDefault="002941CD" w:rsidP="000A57A3">
      <w:r w:rsidRPr="00220D46">
        <w:t>Th</w:t>
      </w:r>
      <w:r>
        <w:t>is structured triaging system has been e</w:t>
      </w:r>
      <w:r w:rsidRPr="00220D46">
        <w:t xml:space="preserve">ndorsed by </w:t>
      </w:r>
      <w:r>
        <w:t xml:space="preserve">ENTUK </w:t>
      </w:r>
      <w:r w:rsidRPr="00220D46">
        <w:t>Head &amp; Neck Society</w:t>
      </w:r>
      <w:r>
        <w:t xml:space="preserve"> and the </w:t>
      </w:r>
      <w:r w:rsidRPr="00220D46">
        <w:t>ENT UK executive.</w:t>
      </w:r>
      <w:r>
        <w:t xml:space="preserve"> </w:t>
      </w:r>
      <w:r w:rsidR="008F6181">
        <w:t>ENT UK have recommended the u</w:t>
      </w:r>
      <w:r w:rsidR="008F6181" w:rsidRPr="00EF12D5">
        <w:t xml:space="preserve">se of </w:t>
      </w:r>
      <w:r w:rsidR="008F6181">
        <w:t xml:space="preserve">an Excel </w:t>
      </w:r>
      <w:r w:rsidR="008F6181" w:rsidRPr="00EF12D5">
        <w:t>spreadsheet</w:t>
      </w:r>
      <w:r w:rsidR="008F6181">
        <w:t>,</w:t>
      </w:r>
      <w:r w:rsidR="008F6181" w:rsidRPr="00EF12D5">
        <w:t xml:space="preserve"> </w:t>
      </w:r>
      <w:r w:rsidR="008F6181">
        <w:t xml:space="preserve">produced alongside this recommendation, to </w:t>
      </w:r>
      <w:r w:rsidR="008F6181" w:rsidRPr="00EF12D5">
        <w:t xml:space="preserve">allow data capture as part of local </w:t>
      </w:r>
      <w:r w:rsidR="008F6181" w:rsidRPr="006A3E51">
        <w:t>service evaluation</w:t>
      </w:r>
      <w:r w:rsidR="008F6181">
        <w:t xml:space="preserve">. Patients should be </w:t>
      </w:r>
      <w:r w:rsidR="008F6181" w:rsidRPr="00EF12D5">
        <w:t>followed up</w:t>
      </w:r>
      <w:r w:rsidR="008F6181">
        <w:t xml:space="preserve"> for at least</w:t>
      </w:r>
      <w:r w:rsidR="008F6181" w:rsidRPr="00EF12D5">
        <w:t xml:space="preserve"> 6 months </w:t>
      </w:r>
      <w:r w:rsidR="008F6181">
        <w:t xml:space="preserve">after the telephone triage is performed, </w:t>
      </w:r>
      <w:r w:rsidR="008F6181" w:rsidRPr="00EF12D5">
        <w:t xml:space="preserve">to determine the safety and effectiveness of using </w:t>
      </w:r>
      <w:r w:rsidR="008F6181">
        <w:t>this process</w:t>
      </w:r>
      <w:r w:rsidR="008F6181" w:rsidRPr="00EF12D5">
        <w:t xml:space="preserve"> during these unprecedented times. </w:t>
      </w:r>
    </w:p>
    <w:p w14:paraId="6B68FA85" w14:textId="6B88B0E2" w:rsidR="0026007F" w:rsidRDefault="00570FB0" w:rsidP="000A57A3">
      <w:pPr>
        <w:pStyle w:val="Heading1"/>
      </w:pPr>
      <w:bookmarkStart w:id="3" w:name="_Toc36479636"/>
      <w:r>
        <w:lastRenderedPageBreak/>
        <w:t>Aims, objectives and outcome measures</w:t>
      </w:r>
      <w:bookmarkEnd w:id="3"/>
    </w:p>
    <w:p w14:paraId="1D9A28A9" w14:textId="225BA21C" w:rsidR="00570FB0" w:rsidRPr="00570FB0" w:rsidRDefault="00570FB0" w:rsidP="000A57A3">
      <w:pPr>
        <w:pStyle w:val="Heading2"/>
      </w:pPr>
      <w:r w:rsidRPr="00570FB0">
        <w:t>Aim</w:t>
      </w:r>
    </w:p>
    <w:p w14:paraId="02097779" w14:textId="5956F4E9" w:rsidR="00570FB0" w:rsidRDefault="00570FB0" w:rsidP="000A57A3">
      <w:r>
        <w:t xml:space="preserve">To assess the effectiveness of telephone triage for prioritising </w:t>
      </w:r>
      <w:r w:rsidR="006D187E">
        <w:t xml:space="preserve">new patients referred with </w:t>
      </w:r>
      <w:r>
        <w:t xml:space="preserve">suspected H&amp;N cancer </w:t>
      </w:r>
      <w:r w:rsidR="006D187E">
        <w:t>and patients under surveillance following previous treatment for H&amp;N cancer</w:t>
      </w:r>
      <w:r>
        <w:t>.</w:t>
      </w:r>
    </w:p>
    <w:p w14:paraId="4BC0CEF3" w14:textId="1378D4B0" w:rsidR="00570FB0" w:rsidRDefault="00570FB0" w:rsidP="000A57A3">
      <w:pPr>
        <w:pStyle w:val="Heading2"/>
      </w:pPr>
      <w:r>
        <w:t>Objectives</w:t>
      </w:r>
    </w:p>
    <w:p w14:paraId="7B4C26E0" w14:textId="3E168C19" w:rsidR="002941CD" w:rsidRPr="00570FB0" w:rsidRDefault="002941CD" w:rsidP="000A57A3">
      <w:pPr>
        <w:pStyle w:val="Heading3"/>
      </w:pPr>
      <w:r w:rsidRPr="00570FB0">
        <w:t>Primary objective</w:t>
      </w:r>
    </w:p>
    <w:p w14:paraId="6B4333C6" w14:textId="0015C604" w:rsidR="000D1A25" w:rsidRDefault="000D1A25" w:rsidP="000A57A3">
      <w:r>
        <w:t>To report the rates of patients triaged to urgent appointments</w:t>
      </w:r>
      <w:r w:rsidR="00BC2447">
        <w:t xml:space="preserve"> or investigations</w:t>
      </w:r>
      <w:r>
        <w:t>, deferred appointments and discharged from the service based on telephone assessment.</w:t>
      </w:r>
    </w:p>
    <w:p w14:paraId="689659A4" w14:textId="2A58C169" w:rsidR="00570FB0" w:rsidRDefault="00570FB0" w:rsidP="000A57A3">
      <w:pPr>
        <w:pStyle w:val="Heading3"/>
      </w:pPr>
      <w:r>
        <w:t>Secondary objectives</w:t>
      </w:r>
    </w:p>
    <w:p w14:paraId="607A67CD" w14:textId="5711B1CA" w:rsidR="000D1A25" w:rsidRDefault="000D1A25" w:rsidP="000A57A3">
      <w:r>
        <w:t xml:space="preserve">To report the rates of cancer at 6 months in </w:t>
      </w:r>
      <w:r w:rsidR="006D187E">
        <w:t>those</w:t>
      </w:r>
      <w:r>
        <w:t xml:space="preserve"> triaged to urgent appointments</w:t>
      </w:r>
      <w:r w:rsidR="00BC2447" w:rsidRPr="00BC2447">
        <w:t xml:space="preserve"> </w:t>
      </w:r>
      <w:r w:rsidR="00BC2447">
        <w:t>or investigations</w:t>
      </w:r>
      <w:r>
        <w:t>, deferred appointments and discharged from the service.</w:t>
      </w:r>
    </w:p>
    <w:p w14:paraId="04A5BD8B" w14:textId="73EAD390" w:rsidR="006D187E" w:rsidRDefault="000D1A25" w:rsidP="000A57A3">
      <w:r>
        <w:t xml:space="preserve">To report the rates of low and high risk </w:t>
      </w:r>
      <w:r w:rsidR="006D187E">
        <w:t xml:space="preserve">new </w:t>
      </w:r>
      <w:r>
        <w:t xml:space="preserve">patients referred with suspected H&amp;N cancer. </w:t>
      </w:r>
    </w:p>
    <w:p w14:paraId="70015E99" w14:textId="4C0531D2" w:rsidR="000D1A25" w:rsidRDefault="000D1A25" w:rsidP="000A57A3">
      <w:r>
        <w:t xml:space="preserve">To report the rates of clinicians </w:t>
      </w:r>
      <w:r w:rsidR="00A77BB9">
        <w:t xml:space="preserve">advising for assessment </w:t>
      </w:r>
      <w:r w:rsidR="006D187E">
        <w:t>for new referrals</w:t>
      </w:r>
      <w:r>
        <w:t>.</w:t>
      </w:r>
    </w:p>
    <w:p w14:paraId="20D2011B" w14:textId="77777777" w:rsidR="000D1A25" w:rsidRDefault="000D1A25" w:rsidP="000A57A3"/>
    <w:p w14:paraId="4507FFA1" w14:textId="12FEC968" w:rsidR="0026007F" w:rsidRDefault="00570FB0" w:rsidP="000A57A3">
      <w:pPr>
        <w:pStyle w:val="Heading1"/>
      </w:pPr>
      <w:bookmarkStart w:id="4" w:name="_Toc36479637"/>
      <w:r>
        <w:lastRenderedPageBreak/>
        <w:t>Project design and setting</w:t>
      </w:r>
      <w:bookmarkEnd w:id="4"/>
    </w:p>
    <w:p w14:paraId="2A0167E2" w14:textId="60BAA553" w:rsidR="00F7018E" w:rsidRPr="00FD7F16" w:rsidRDefault="00F7018E" w:rsidP="000A57A3">
      <w:pPr>
        <w:pStyle w:val="Heading2"/>
      </w:pPr>
      <w:r>
        <w:t>Project design</w:t>
      </w:r>
    </w:p>
    <w:p w14:paraId="12FB19F4" w14:textId="77FE7FA2" w:rsidR="00F7018E" w:rsidRPr="00FD7F16" w:rsidRDefault="00F7018E" w:rsidP="000A57A3">
      <w:r>
        <w:t xml:space="preserve">National service evaluation of telephone consultations to triage </w:t>
      </w:r>
      <w:r w:rsidR="006D187E">
        <w:t>new patients referred with suspected H&amp;N cancer and patients under surveillance following previous treatment for H&amp;N cancer.</w:t>
      </w:r>
    </w:p>
    <w:p w14:paraId="3B9C4638" w14:textId="4C456214" w:rsidR="00F7018E" w:rsidRDefault="00F7018E" w:rsidP="000A57A3">
      <w:pPr>
        <w:pStyle w:val="Heading2"/>
      </w:pPr>
      <w:r>
        <w:t>Project setting</w:t>
      </w:r>
    </w:p>
    <w:p w14:paraId="1CD06878" w14:textId="538CF469" w:rsidR="00F7018E" w:rsidRPr="00F7018E" w:rsidRDefault="00F7018E" w:rsidP="000A57A3">
      <w:r>
        <w:t>UK secondary care ENT departments.</w:t>
      </w:r>
    </w:p>
    <w:p w14:paraId="5381651C" w14:textId="77777777" w:rsidR="00570FB0" w:rsidRPr="00570FB0" w:rsidRDefault="00570FB0" w:rsidP="000A57A3"/>
    <w:p w14:paraId="13DA9587" w14:textId="2610C435" w:rsidR="00570FB0" w:rsidRDefault="00570FB0" w:rsidP="000A57A3">
      <w:pPr>
        <w:pStyle w:val="Heading1"/>
      </w:pPr>
      <w:bookmarkStart w:id="5" w:name="_Toc36479638"/>
      <w:r>
        <w:lastRenderedPageBreak/>
        <w:t>Participant eligibility</w:t>
      </w:r>
      <w:bookmarkEnd w:id="5"/>
    </w:p>
    <w:p w14:paraId="703CF912" w14:textId="77777777" w:rsidR="00F7018E" w:rsidRPr="00F7018E" w:rsidRDefault="00F7018E" w:rsidP="000A57A3">
      <w:pPr>
        <w:pStyle w:val="Heading2"/>
      </w:pPr>
      <w:r w:rsidRPr="00F7018E">
        <w:t>Inclusion criteria</w:t>
      </w:r>
    </w:p>
    <w:p w14:paraId="4D76AEDF" w14:textId="379B81CB" w:rsidR="006D187E" w:rsidRDefault="006D187E" w:rsidP="000A57A3">
      <w:pPr>
        <w:pStyle w:val="ListParagraph"/>
        <w:numPr>
          <w:ilvl w:val="0"/>
          <w:numId w:val="31"/>
        </w:numPr>
      </w:pPr>
      <w:r>
        <w:t>New patients referred with suspected H&amp;N cancer.</w:t>
      </w:r>
    </w:p>
    <w:p w14:paraId="0DD374C3" w14:textId="301416AA" w:rsidR="006D187E" w:rsidRPr="00F7018E" w:rsidRDefault="006D187E" w:rsidP="006D187E">
      <w:pPr>
        <w:pStyle w:val="ListParagraph"/>
        <w:numPr>
          <w:ilvl w:val="0"/>
          <w:numId w:val="31"/>
        </w:numPr>
      </w:pPr>
      <w:r>
        <w:t>Follow up patients under surveillance following previous treatment for H&amp;N cancer.</w:t>
      </w:r>
    </w:p>
    <w:p w14:paraId="57601353" w14:textId="77777777" w:rsidR="00F7018E" w:rsidRPr="00F7018E" w:rsidRDefault="00F7018E" w:rsidP="000A57A3">
      <w:pPr>
        <w:pStyle w:val="Heading2"/>
      </w:pPr>
      <w:r w:rsidRPr="00F7018E">
        <w:t>Exclusion criteria</w:t>
      </w:r>
    </w:p>
    <w:p w14:paraId="6DECE10F" w14:textId="6C98617D" w:rsidR="00F7018E" w:rsidRDefault="00F7018E" w:rsidP="000A57A3">
      <w:pPr>
        <w:pStyle w:val="ListParagraph"/>
        <w:numPr>
          <w:ilvl w:val="0"/>
          <w:numId w:val="30"/>
        </w:numPr>
      </w:pPr>
      <w:r>
        <w:t>Patients seen in face to face clinic appointments</w:t>
      </w:r>
      <w:r w:rsidR="00BC2447">
        <w:t xml:space="preserve"> a first contact</w:t>
      </w:r>
      <w:r w:rsidR="0011623A">
        <w:t>.</w:t>
      </w:r>
    </w:p>
    <w:p w14:paraId="489C7B47" w14:textId="0B7C1E43" w:rsidR="0011623A" w:rsidRPr="00F7018E" w:rsidRDefault="0011623A" w:rsidP="000A57A3">
      <w:pPr>
        <w:pStyle w:val="ListParagraph"/>
        <w:numPr>
          <w:ilvl w:val="0"/>
          <w:numId w:val="30"/>
        </w:numPr>
      </w:pPr>
      <w:r>
        <w:t xml:space="preserve">Patients specifically dissenting to the collection of anonymised data. </w:t>
      </w:r>
    </w:p>
    <w:p w14:paraId="6C43E158" w14:textId="0328E0BD" w:rsidR="00570FB0" w:rsidRDefault="00570FB0" w:rsidP="000A57A3"/>
    <w:p w14:paraId="52425833" w14:textId="4BE1E3C1" w:rsidR="00570FB0" w:rsidRDefault="00570FB0" w:rsidP="000A57A3">
      <w:pPr>
        <w:pStyle w:val="Heading1"/>
      </w:pPr>
      <w:bookmarkStart w:id="6" w:name="_Toc36479639"/>
      <w:r>
        <w:lastRenderedPageBreak/>
        <w:t>Project procedures and methodology</w:t>
      </w:r>
      <w:bookmarkEnd w:id="6"/>
    </w:p>
    <w:p w14:paraId="525A6C1E" w14:textId="5F2D14AD" w:rsidR="00F7018E" w:rsidRDefault="00F7018E" w:rsidP="000A57A3">
      <w:pPr>
        <w:pStyle w:val="Heading2"/>
      </w:pPr>
      <w:r>
        <w:t>Registration of project</w:t>
      </w:r>
    </w:p>
    <w:p w14:paraId="5F7F12A1" w14:textId="2DEFB979" w:rsidR="00627C0C" w:rsidRPr="00627C0C" w:rsidRDefault="00627C0C" w:rsidP="000A57A3">
      <w:pPr>
        <w:pStyle w:val="Quote"/>
      </w:pPr>
      <w:r w:rsidRPr="002941CD">
        <w:t xml:space="preserve">This </w:t>
      </w:r>
      <w:r>
        <w:t xml:space="preserve">is an </w:t>
      </w:r>
      <w:r w:rsidRPr="002941CD">
        <w:t xml:space="preserve">investigator-led, non-commercial, non-interventional </w:t>
      </w:r>
      <w:r>
        <w:t>project and</w:t>
      </w:r>
      <w:r w:rsidRPr="002941CD">
        <w:t xml:space="preserve"> is extremely low risk. This study does not collect any patient identifiable information (including dates) and </w:t>
      </w:r>
      <w:r>
        <w:t>data analysis</w:t>
      </w:r>
      <w:r w:rsidRPr="002941CD">
        <w:t xml:space="preserve"> </w:t>
      </w:r>
      <w:r>
        <w:t xml:space="preserve">will not identify </w:t>
      </w:r>
      <w:r w:rsidRPr="002941CD">
        <w:t>hospital</w:t>
      </w:r>
      <w:r>
        <w:t>s individually</w:t>
      </w:r>
      <w:r w:rsidRPr="002941CD">
        <w:t xml:space="preserve">. </w:t>
      </w:r>
    </w:p>
    <w:p w14:paraId="6330D27B" w14:textId="5F240EE9" w:rsidR="00F7018E" w:rsidRPr="00627C0C" w:rsidRDefault="00F7018E" w:rsidP="000A57A3">
      <w:pPr>
        <w:pStyle w:val="ListParagraph"/>
      </w:pPr>
      <w:r w:rsidRPr="00627C0C">
        <w:t xml:space="preserve">Identify a Consultant at your trust who will take responsibility for the project at your hospital. </w:t>
      </w:r>
      <w:r w:rsidR="00627C0C" w:rsidRPr="00627C0C">
        <w:t>This person will be known as the ‘lead consultant’.</w:t>
      </w:r>
    </w:p>
    <w:p w14:paraId="4922BAB6" w14:textId="3BD1F580" w:rsidR="00627C0C" w:rsidRPr="00627C0C" w:rsidRDefault="00627C0C" w:rsidP="000A57A3">
      <w:pPr>
        <w:pStyle w:val="ListParagraph"/>
      </w:pPr>
      <w:r w:rsidRPr="00627C0C">
        <w:t xml:space="preserve">Identify one member of clinical staff who will be responsible for collating the data and submitting the anonymised data to the project management team. This person will be known as the ‘site lead’. This may be the same person as the lead consultant. </w:t>
      </w:r>
    </w:p>
    <w:p w14:paraId="22CF8F5F" w14:textId="7FEE1E00" w:rsidR="00627C0C" w:rsidRPr="00627C0C" w:rsidRDefault="00627C0C" w:rsidP="000A57A3">
      <w:pPr>
        <w:pStyle w:val="ListParagraph"/>
      </w:pPr>
      <w:r w:rsidRPr="00627C0C">
        <w:t xml:space="preserve">Identify clinical staff who will be performing telephone triage and inform them of the project and procedures. </w:t>
      </w:r>
    </w:p>
    <w:p w14:paraId="0F00135D" w14:textId="5E872488" w:rsidR="00F7018E" w:rsidRPr="00627C0C" w:rsidRDefault="00F7018E" w:rsidP="000A57A3">
      <w:pPr>
        <w:pStyle w:val="ListParagraph"/>
      </w:pPr>
      <w:r w:rsidRPr="00627C0C">
        <w:t xml:space="preserve">Register the project with your local Clinical Governance Department responsible for the conduct of local service evaluations. </w:t>
      </w:r>
      <w:r w:rsidR="00627C0C" w:rsidRPr="00627C0C">
        <w:t xml:space="preserve">This may be done by the lead consultant and/or the site lead. </w:t>
      </w:r>
    </w:p>
    <w:p w14:paraId="01916EB8" w14:textId="25F26583" w:rsidR="00627C0C" w:rsidRPr="00627C0C" w:rsidRDefault="00627C0C" w:rsidP="000A57A3">
      <w:pPr>
        <w:pStyle w:val="ListParagraph"/>
      </w:pPr>
      <w:r w:rsidRPr="00627C0C">
        <w:t>Data collection can begin in anticipation of local approvals, but data cannot be submitted to the project management team until local approvals are in place.</w:t>
      </w:r>
    </w:p>
    <w:p w14:paraId="71F2AAC3" w14:textId="63079B70" w:rsidR="00F7018E" w:rsidRPr="00FD7F16" w:rsidRDefault="00F7018E" w:rsidP="000A57A3">
      <w:pPr>
        <w:pStyle w:val="Heading3"/>
      </w:pPr>
      <w:r w:rsidRPr="00FD7F16">
        <w:t>Identification of patients</w:t>
      </w:r>
    </w:p>
    <w:p w14:paraId="5D833EA9" w14:textId="69F018DE" w:rsidR="0011623A" w:rsidRDefault="0011623A" w:rsidP="000A57A3">
      <w:r>
        <w:t>Patients will be identified from outpatient clinic</w:t>
      </w:r>
      <w:r w:rsidR="007E3E35">
        <w:t xml:space="preserve"> lists</w:t>
      </w:r>
      <w:r>
        <w:t xml:space="preserve"> at participating trusts. </w:t>
      </w:r>
    </w:p>
    <w:p w14:paraId="3AF6DFA1" w14:textId="30FE9DC4" w:rsidR="00336EB8" w:rsidRDefault="00336EB8" w:rsidP="000A57A3">
      <w:r w:rsidRPr="00336EB8">
        <w:t>All consecutive patients should be recorded from the time the trust commences data collection.</w:t>
      </w:r>
    </w:p>
    <w:p w14:paraId="0C0F1E7D" w14:textId="33A1B400" w:rsidR="00F7018E" w:rsidRPr="00FD7F16" w:rsidRDefault="00F7018E" w:rsidP="000A57A3">
      <w:pPr>
        <w:pStyle w:val="Heading3"/>
      </w:pPr>
      <w:r w:rsidRPr="00FD7F16">
        <w:t>Consent</w:t>
      </w:r>
    </w:p>
    <w:p w14:paraId="70AD1246" w14:textId="77777777" w:rsidR="0011623A" w:rsidRDefault="00F7018E" w:rsidP="000A57A3">
      <w:r>
        <w:t>Patients will not be consented as part of this project as it constitu</w:t>
      </w:r>
      <w:r w:rsidR="007A2B65">
        <w:t>t</w:t>
      </w:r>
      <w:r>
        <w:t>es a service evaluation</w:t>
      </w:r>
      <w:r w:rsidR="0011623A">
        <w:t xml:space="preserve"> and collects only anonymised data</w:t>
      </w:r>
      <w:r>
        <w:t>.</w:t>
      </w:r>
    </w:p>
    <w:p w14:paraId="54F19127" w14:textId="46194155" w:rsidR="00F7018E" w:rsidRPr="0011623A" w:rsidRDefault="0011623A" w:rsidP="000A57A3">
      <w:pPr>
        <w:pStyle w:val="Heading4"/>
      </w:pPr>
      <w:r w:rsidRPr="0011623A">
        <w:t>Service evaluation</w:t>
      </w:r>
      <w:r w:rsidR="00F7018E" w:rsidRPr="0011623A">
        <w:t xml:space="preserve"> </w:t>
      </w:r>
    </w:p>
    <w:p w14:paraId="157D6A02" w14:textId="47F69C39" w:rsidR="00F7018E" w:rsidRPr="00627C0C" w:rsidRDefault="0011623A" w:rsidP="000A57A3">
      <w:pPr>
        <w:pStyle w:val="Quote"/>
      </w:pPr>
      <w:r w:rsidRPr="00627C0C">
        <w:t>‘S</w:t>
      </w:r>
      <w:r w:rsidR="00F7018E" w:rsidRPr="00627C0C">
        <w:t>ervice evaluation seeks to assess how well a service is achieving its intended aims. It is undertaken to benefit the people using a particular healthcare service and is designed and conducted with the sole purpose of defining or judging the current service.</w:t>
      </w:r>
      <w:r w:rsidRPr="00627C0C">
        <w:t>’</w:t>
      </w:r>
      <w:r w:rsidR="00F7018E" w:rsidRPr="00627C0C">
        <w:fldChar w:fldCharType="begin"/>
      </w:r>
      <w:r w:rsidR="003D0ACA">
        <w:instrText xml:space="preserve"> ADDIN ZOTERO_ITEM CSL_CITATION {"citationID":"qEXgjSRQ","properties":{"formattedCitation":"\\super 7\\nosupersub{}","plainCitation":"7","noteIndex":0},"citationItems":[{"id":36775,"uris":["http://zotero.org/users/1253570/items/VAPJ3YYR"],"uri":["http://zotero.org/users/1253570/items/VAPJ3YYR"],"itemData":{"id":36775,"type":"article-journal","abstract":"Knowing the difference between health service evaluation, audit and research can be tricky especially for the novice researcher. Put simply, nursing research involves finding the answers to questions about “what nurses should do to help patients,” audit examines “whether nurses are doing this , and if not, why not,”1 and service evaluation asks about “the effect of nursing care on patient experiences and outcomes .” In this paper, we aim to provide some tips to help guide you through the decision-making process as you begin to plan your evaluation, audit or research project. As a starting point box 1 provides key definitions for each type of project.\n\n### Box 1 Definitions of service evaluation, audit and research\n\n</w:instrText>
      </w:r>
      <w:r w:rsidR="003D0ACA">
        <w:rPr>
          <w:rFonts w:ascii="Segoe UI Symbol" w:hAnsi="Segoe UI Symbol" w:cs="Segoe UI Symbol"/>
        </w:rPr>
        <w:instrText>▸</w:instrText>
      </w:r>
      <w:r w:rsidR="003D0ACA">
        <w:instrText>  What is service evaluation? \n\nService evaluation seeks to assess how well a service is achieving its intended aims. It is undertaken to benefit the people using a particular healthcare service and is designed and conducted with the sole purpose of defining or judging the current service.2\n\nThe results of service evaluations are mostly used to generate information that can be used to inform local decision-making.\n\n</w:instrText>
      </w:r>
      <w:r w:rsidR="003D0ACA">
        <w:rPr>
          <w:rFonts w:ascii="Segoe UI Symbol" w:hAnsi="Segoe UI Symbol" w:cs="Segoe UI Symbol"/>
        </w:rPr>
        <w:instrText>▸</w:instrText>
      </w:r>
      <w:r w:rsidR="003D0ACA">
        <w:instrText xml:space="preserve">  What is (clinical) audit? \n\nThe English Department of Health3 states …","container-title":"Evidence-Based Nursing","DOI":"10/ggppwp","ISSN":"1367-6539, 1468-9618","issue":"3","language":"en","note":"publisher: Royal College of Nursing\nsection: Research made simple\nPMID: 24829302","page":"65-66","source":"ebn.bmj.com","title":"Service evaluation, audit and research: what is the difference?","title-short":"Service evaluation, audit and research","volume":"17","author":[{"family":"Twycross","given":"Alison"},{"family":"Shorten","given":"Allison"}],"issued":{"date-parts":[["2014",7,1]]}}}],"schema":"https://github.com/citation-style-language/schema/raw/master/csl-citation.json"} </w:instrText>
      </w:r>
      <w:r w:rsidR="00F7018E" w:rsidRPr="00627C0C">
        <w:fldChar w:fldCharType="separate"/>
      </w:r>
      <w:r w:rsidR="003D0ACA" w:rsidRPr="003D0ACA">
        <w:rPr>
          <w:rFonts w:ascii="Calibri Light" w:hAnsi="Calibri Light" w:cs="Calibri Light"/>
          <w:color w:val="00FFFF"/>
          <w:vertAlign w:val="superscript"/>
        </w:rPr>
        <w:t>7</w:t>
      </w:r>
      <w:r w:rsidR="00F7018E" w:rsidRPr="00627C0C">
        <w:fldChar w:fldCharType="end"/>
      </w:r>
    </w:p>
    <w:p w14:paraId="49C5FD4A" w14:textId="15925F4A" w:rsidR="00F7018E" w:rsidRDefault="0011623A" w:rsidP="000A57A3">
      <w:r>
        <w:t>This project</w:t>
      </w:r>
      <w:r w:rsidR="00F7018E">
        <w:t xml:space="preserve"> is designed and conducted to judge current care. Patient care is not determined by following a set protocol, rather, decisions </w:t>
      </w:r>
      <w:r w:rsidR="00F7018E" w:rsidRPr="002941CD">
        <w:t xml:space="preserve">are made jointly by the </w:t>
      </w:r>
      <w:r w:rsidR="00F7018E">
        <w:t>clinician</w:t>
      </w:r>
      <w:r w:rsidR="00F7018E" w:rsidRPr="002941CD">
        <w:t xml:space="preserve"> and </w:t>
      </w:r>
      <w:r w:rsidR="00F7018E">
        <w:t xml:space="preserve">the </w:t>
      </w:r>
      <w:r w:rsidR="00F7018E" w:rsidRPr="002941CD">
        <w:t>patient.</w:t>
      </w:r>
      <w:r w:rsidR="00F7018E">
        <w:t xml:space="preserve"> There is no current standard for comparison, but </w:t>
      </w:r>
      <w:r>
        <w:t>the project</w:t>
      </w:r>
      <w:r w:rsidR="00F7018E">
        <w:t xml:space="preserve"> aims to assess the quality of the current service. Centres from across the UK are invited to take part to assess the service offered to all </w:t>
      </w:r>
      <w:r w:rsidR="007E3E35">
        <w:t>new and follow up</w:t>
      </w:r>
      <w:r w:rsidR="00F7018E">
        <w:t xml:space="preserve"> </w:t>
      </w:r>
      <w:r w:rsidR="007E3E35">
        <w:t xml:space="preserve">patients </w:t>
      </w:r>
      <w:r w:rsidR="00F7018E">
        <w:t xml:space="preserve">with suspected </w:t>
      </w:r>
      <w:r w:rsidR="007E3E35">
        <w:t xml:space="preserve">or previously treated </w:t>
      </w:r>
      <w:r w:rsidR="00F7018E">
        <w:t>H&amp;N cancer. As such, the results are not produced to be generalisable to any other patient group.</w:t>
      </w:r>
      <w:r>
        <w:t xml:space="preserve"> Please see appendix for outcome of the HRA decision tool regarding classification of research versus audit and service evaluation [appendix </w:t>
      </w:r>
      <w:r w:rsidR="00727A94">
        <w:t>1</w:t>
      </w:r>
      <w:r>
        <w:t>].</w:t>
      </w:r>
    </w:p>
    <w:p w14:paraId="546A8501" w14:textId="01F83667" w:rsidR="00F7018E" w:rsidRDefault="0011623A" w:rsidP="000A57A3">
      <w:pPr>
        <w:pStyle w:val="Heading4"/>
      </w:pPr>
      <w:r>
        <w:lastRenderedPageBreak/>
        <w:t>Anonymised data</w:t>
      </w:r>
    </w:p>
    <w:p w14:paraId="19A4CE10" w14:textId="77777777" w:rsidR="00627C0C" w:rsidRDefault="0011623A" w:rsidP="000A57A3">
      <w:r>
        <w:t xml:space="preserve">No patient identifiable data will leave the hospital trust. </w:t>
      </w:r>
      <w:r w:rsidR="007312C7">
        <w:t xml:space="preserve">The electronic case report form (eCRF) will collect a patient ID to allow tracking, prevent duplication on data amalgamation and allow follow up data to be collected. Prior to submission to the project management team, all patient identifiable data will be removed from the eCRF. </w:t>
      </w:r>
    </w:p>
    <w:p w14:paraId="2A4BBB47" w14:textId="6282067A" w:rsidR="0011623A" w:rsidRDefault="007312C7" w:rsidP="000A57A3">
      <w:r>
        <w:t>No dates are recorded.</w:t>
      </w:r>
    </w:p>
    <w:p w14:paraId="313F6388" w14:textId="41F66FA2" w:rsidR="00627C0C" w:rsidRPr="0011623A" w:rsidRDefault="00627C0C" w:rsidP="000A57A3">
      <w:r>
        <w:t>No identifiable hospital level analysis will be conducted.</w:t>
      </w:r>
    </w:p>
    <w:p w14:paraId="6CF26946" w14:textId="4AF2D350" w:rsidR="00F7018E" w:rsidRDefault="0011623A" w:rsidP="000A57A3">
      <w:pPr>
        <w:pStyle w:val="Heading3"/>
      </w:pPr>
      <w:r>
        <w:t>Follow up</w:t>
      </w:r>
    </w:p>
    <w:p w14:paraId="60A1914E" w14:textId="2CEC434C" w:rsidR="0011623A" w:rsidRPr="0011623A" w:rsidRDefault="0011623A" w:rsidP="00F564D8">
      <w:r>
        <w:t>In order to establish the appropriateness of the telephone triage service, the</w:t>
      </w:r>
      <w:r w:rsidR="00F564D8">
        <w:t xml:space="preserve"> patient record will be checked after a minimum of 6 months following the triage event,</w:t>
      </w:r>
      <w:r>
        <w:t xml:space="preserve"> to record the presence </w:t>
      </w:r>
      <w:r w:rsidRPr="00786DB4">
        <w:t xml:space="preserve">of </w:t>
      </w:r>
      <w:r w:rsidR="00F564D8">
        <w:t xml:space="preserve">any diagnosis of cancer, related to their referral symptoms, </w:t>
      </w:r>
      <w:r>
        <w:t xml:space="preserve">at any point since </w:t>
      </w:r>
      <w:r w:rsidR="00EA7C09">
        <w:t>the triage was performed</w:t>
      </w:r>
      <w:r>
        <w:t xml:space="preserve">. No additional patient contacts will be required. </w:t>
      </w:r>
    </w:p>
    <w:p w14:paraId="79FAC094" w14:textId="31505718" w:rsidR="0011623A" w:rsidRDefault="0011623A" w:rsidP="000A57A3">
      <w:pPr>
        <w:pStyle w:val="Heading3"/>
      </w:pPr>
      <w:r>
        <w:t>Dataset</w:t>
      </w:r>
    </w:p>
    <w:p w14:paraId="722A13ED" w14:textId="143E5CB6" w:rsidR="0011623A" w:rsidRPr="0011623A" w:rsidRDefault="0011623A" w:rsidP="000A57A3">
      <w:r>
        <w:t xml:space="preserve">Patients will be asked </w:t>
      </w:r>
      <w:r w:rsidR="003D0ACA">
        <w:t xml:space="preserve">about their </w:t>
      </w:r>
      <w:r>
        <w:t xml:space="preserve">symptoms based on </w:t>
      </w:r>
      <w:r w:rsidR="003D0ACA">
        <w:t xml:space="preserve">factors in </w:t>
      </w:r>
      <w:r>
        <w:t>the ‘</w:t>
      </w:r>
      <w:r w:rsidRPr="0011623A">
        <w:t xml:space="preserve">Head and neck cancer risk calculator (HaNC‐RC) </w:t>
      </w:r>
      <w:r>
        <w:t xml:space="preserve">v2’ </w:t>
      </w:r>
      <w:r w:rsidR="003D0ACA">
        <w:t xml:space="preserve">[new and follow up patients] </w:t>
      </w:r>
      <w:r>
        <w:t xml:space="preserve">and </w:t>
      </w:r>
      <w:r w:rsidR="003D0ACA">
        <w:t>from the proforma used in the BAHNO H&amp;N cancer surveillance audit 2018 [follow up patients only].</w:t>
      </w:r>
      <w:r w:rsidR="003D0ACA">
        <w:fldChar w:fldCharType="begin"/>
      </w:r>
      <w:r w:rsidR="003D0ACA">
        <w:instrText xml:space="preserve"> ADDIN ZOTERO_ITEM CSL_CITATION {"citationID":"TwJXSbrW","properties":{"formattedCitation":"\\super 5,6\\nosupersub{}","plainCitation":"5,6","noteIndex":0},"citationItems":[{"id":36779,"uris":["http://zotero.org/users/1253570/items/9YJ9K8LU"],"uri":["http://zotero.org/users/1253570/items/9YJ9K8LU"],"itemData":{"id":36779,"type":"article-journal","abstract":"OBJECTIVES: Head and neck cancer (HNC) diagnosis through the 2-week wait, urgent suspicion of cancer (USOC) pathway has failed to increase early cancer detection rates in the UK. A head and neck cancer risk calculator (HaNC-RC) has previously been designed to aid referral of high-risk patients to USOC clinics (predictive power: 77%). Our aim was to refine the HaNC-RC to increase its prediction potential.\nDESIGN: Following sample size calculation, prospective data collection and statistical analysis of referral criteria and outcomes.\nSETTING: Large tertiary care cancer centre in Scotland.\nPARTICIPANTS: 3531 new patients seen in routine, urgent and USOC head and neck (HaN) clinics.\nMAIN OUTCOME MEASURES: Data collected were as follows: demographics, social history, presenting symptoms and signs and HNC diagnosis. Univariate and multivariate regression analysis were performed to identify significant predictors of HNC. Internal validation was performed using 1000 sample bootstrapping to estimate model diagnostics included the area under the receiver operator curve (AUC), sensitivity and specificity.\nRESULTS: The updated version of the risk calculator (HaNC-RC v.2) includes age, gender, unintentional weight loss, smoking, alcohol, positive and negative symptoms and signs of HNC. It has achieved an AUC of 88.6% with two recommended triage referral cut-offs to USOC (cut-off: 7.1%; sensitivity: 85%, specificity: 78.3%) or urgent clinics (cut-off: 2.2%; sensitivity: 97.1%; specificity of 52.9%). This could redistribute cancer detection through USOC clinics from the current 60.9%-85.2%, without affecting total numbers seen in each clinical setting.\nCONCLUSIONS: The use of the HaNC-RC v.2 has a significant potential in both identifying patients at high risk of HNC early thought USOC clinics but also improving health service delivery practices by reducing the number of inappropriately urgent referrals.","container-title":"Clinical otolaryngology: official journal of ENT-UK ; official journal of Netherlands Society for Oto-Rhino-Laryngology &amp; Cervico-Facial Surgery","DOI":"10/ggppw3","ISSN":"1749-4486","journalAbbreviation":"Clin Otolaryngol","language":"eng","note":"PMID: 31985180","source":"PubMed","title":"Head and neck cancer risk calculator (HaNC-RC)-V.2. Adjustments and addition of symptoms and social history factors","author":[{"family":"Tikka","given":"Theofano"},{"family":"Kavanagh","given":"Kimberley"},{"family":"Lowit","given":"Anja"},{"family":"Jiafeng","given":"Pan"},{"family":"Burns","given":"Harry"},{"family":"Nixon","given":"Iain J."},{"family":"Paleri","given":"Vinidh"},{"family":"MacKenzie","given":"Kenneth"}],"issued":{"date-parts":[["2020",1,27]]}}},{"id":36797,"uris":["http://zotero.org/users/1253570/items/I44E7SEF"],"uri":["http://zotero.org/users/1253570/items/I44E7SEF"],"itemData":{"id":36797,"type":"speech","event":"BAHNO 2019 Annual Scientific Meeting","event-place":"Royal College of Physicians, London, UK","genre":"Presentation","publisher-place":"Royal College of Physicians, London, UK","title":"United Kingdom Head and Neck Cancer Surveillance study 2018 [Presentation]","author":[{"literal":"Hardman J, Tikka T, on behalf of INTEGRATE (The UK ENT Trainee Research Network)"}],"issued":{"date-parts":[["2019",5,17]]}}}],"schema":"https://github.com/citation-style-language/schema/raw/master/csl-citation.json"} </w:instrText>
      </w:r>
      <w:r w:rsidR="003D0ACA">
        <w:fldChar w:fldCharType="separate"/>
      </w:r>
      <w:r w:rsidR="003D0ACA" w:rsidRPr="003D0ACA">
        <w:rPr>
          <w:rFonts w:ascii="Calibri Light" w:cs="Calibri Light"/>
          <w:color w:val="000000"/>
          <w:vertAlign w:val="superscript"/>
        </w:rPr>
        <w:t>5,6</w:t>
      </w:r>
      <w:r w:rsidR="003D0ACA">
        <w:fldChar w:fldCharType="end"/>
      </w:r>
      <w:r w:rsidR="003D0ACA">
        <w:t xml:space="preserve"> R</w:t>
      </w:r>
      <w:r>
        <w:t xml:space="preserve">esponses </w:t>
      </w:r>
      <w:r w:rsidR="003D0ACA">
        <w:t xml:space="preserve">will be </w:t>
      </w:r>
      <w:r>
        <w:t>recorded in the electronic case report form (eCRF) [</w:t>
      </w:r>
      <w:r w:rsidR="001D6024">
        <w:t>https://entintegrate.co.uk/entuk2wwtt</w:t>
      </w:r>
      <w:r>
        <w:t xml:space="preserve">]. Additionally, clinician override of the calculator outcome, patient preference and final outcome of the triage will be recorded. Subsequently, the outcome of the outpatient appointment will be recorded and the presence of cancer at 6 months. </w:t>
      </w:r>
    </w:p>
    <w:p w14:paraId="6A082AC6" w14:textId="3651A4B7" w:rsidR="0011623A" w:rsidRDefault="0011623A" w:rsidP="000A57A3">
      <w:pPr>
        <w:pStyle w:val="Heading3"/>
      </w:pPr>
      <w:r>
        <w:t>Withdrawal criteria</w:t>
      </w:r>
    </w:p>
    <w:p w14:paraId="76E262D5" w14:textId="62B04A1E" w:rsidR="00F7018E" w:rsidRPr="002941CD" w:rsidRDefault="0011623A" w:rsidP="000A57A3">
      <w:r w:rsidRPr="00D93BFC">
        <w:t>Patient</w:t>
      </w:r>
      <w:r>
        <w:t>s</w:t>
      </w:r>
      <w:r w:rsidRPr="00D93BFC">
        <w:t xml:space="preserve"> can choose to </w:t>
      </w:r>
      <w:r>
        <w:t xml:space="preserve">withhold their anonymised data at any time. </w:t>
      </w:r>
    </w:p>
    <w:p w14:paraId="0500B6AC" w14:textId="77777777" w:rsidR="006E744A" w:rsidRDefault="00F7018E" w:rsidP="006E744A">
      <w:r w:rsidRPr="002941CD">
        <w:t xml:space="preserve">This investigator-led, non-commercial, non-interventional study is extremely low risk. This study does not collect any patient identifiable information </w:t>
      </w:r>
      <w:r w:rsidR="006E744A" w:rsidRPr="006E744A">
        <w:t>(including dates) and data analysis will not identify hospitals individually.</w:t>
      </w:r>
    </w:p>
    <w:p w14:paraId="1B32EB2A" w14:textId="7A8CC223" w:rsidR="003D0ACA" w:rsidRDefault="003D0ACA" w:rsidP="006E744A">
      <w:pPr>
        <w:pStyle w:val="Heading2"/>
      </w:pPr>
      <w:r>
        <w:t>Data entry</w:t>
      </w:r>
    </w:p>
    <w:p w14:paraId="71D62278" w14:textId="4D9288A4" w:rsidR="003D0ACA" w:rsidRPr="003D0ACA" w:rsidRDefault="003D0ACA" w:rsidP="003D0ACA">
      <w:r>
        <w:t>Please see separate ‘User Guide’ for advice on completing and handling the eCRF [</w:t>
      </w:r>
      <w:r w:rsidR="001D6024">
        <w:t>https://entintegrate.co.uk/entuk2wwtt</w:t>
      </w:r>
      <w:r>
        <w:t>].</w:t>
      </w:r>
    </w:p>
    <w:p w14:paraId="1980D3BF" w14:textId="77777777" w:rsidR="000D1A25" w:rsidRDefault="000D1A25" w:rsidP="000A57A3"/>
    <w:p w14:paraId="5865B2DF" w14:textId="2310B672" w:rsidR="00570FB0" w:rsidRDefault="00570FB0" w:rsidP="000A57A3">
      <w:pPr>
        <w:pStyle w:val="Heading1"/>
      </w:pPr>
      <w:bookmarkStart w:id="7" w:name="_Toc36479640"/>
      <w:r>
        <w:lastRenderedPageBreak/>
        <w:t>Data analysis</w:t>
      </w:r>
      <w:bookmarkEnd w:id="7"/>
    </w:p>
    <w:p w14:paraId="11887AAA" w14:textId="56E62645" w:rsidR="00627C0C" w:rsidRDefault="00627C0C" w:rsidP="000A57A3">
      <w:pPr>
        <w:pStyle w:val="Heading2"/>
      </w:pPr>
      <w:r w:rsidRPr="000F3296">
        <w:t>Sample size</w:t>
      </w:r>
    </w:p>
    <w:p w14:paraId="3BD67472" w14:textId="41A0CE5F" w:rsidR="00627C0C" w:rsidRDefault="00627C0C" w:rsidP="000A57A3">
      <w:r>
        <w:t>No prospective sample size determination will be made.</w:t>
      </w:r>
    </w:p>
    <w:p w14:paraId="2D3E0518" w14:textId="591306BB" w:rsidR="00627C0C" w:rsidRPr="00CB30E0" w:rsidRDefault="00627C0C" w:rsidP="000A57A3">
      <w:pPr>
        <w:pStyle w:val="Heading2"/>
      </w:pPr>
      <w:r>
        <w:t>Duration of service evaluation</w:t>
      </w:r>
    </w:p>
    <w:p w14:paraId="3F562EBA" w14:textId="7F99375C" w:rsidR="00627C0C" w:rsidRDefault="00627C0C" w:rsidP="000A57A3">
      <w:r>
        <w:t xml:space="preserve">The service evaluation </w:t>
      </w:r>
      <w:r w:rsidR="00837757">
        <w:t>was</w:t>
      </w:r>
      <w:r>
        <w:t xml:space="preserve"> </w:t>
      </w:r>
      <w:r w:rsidR="00837757">
        <w:t xml:space="preserve">launched with an </w:t>
      </w:r>
      <w:r>
        <w:t xml:space="preserve">invitation letter to ENT UK members on the </w:t>
      </w:r>
      <w:proofErr w:type="gramStart"/>
      <w:r>
        <w:t>24</w:t>
      </w:r>
      <w:r w:rsidRPr="00627C0C">
        <w:rPr>
          <w:vertAlign w:val="superscript"/>
        </w:rPr>
        <w:t>th</w:t>
      </w:r>
      <w:proofErr w:type="gramEnd"/>
      <w:r>
        <w:t xml:space="preserve"> March 2020. </w:t>
      </w:r>
      <w:r w:rsidR="00837757">
        <w:t xml:space="preserve">The final date for identification of patients was the </w:t>
      </w:r>
      <w:proofErr w:type="gramStart"/>
      <w:r w:rsidR="00837757">
        <w:t>13</w:t>
      </w:r>
      <w:r w:rsidR="00837757" w:rsidRPr="00837757">
        <w:rPr>
          <w:vertAlign w:val="superscript"/>
        </w:rPr>
        <w:t>th</w:t>
      </w:r>
      <w:proofErr w:type="gramEnd"/>
      <w:r w:rsidR="00837757">
        <w:t xml:space="preserve"> July 2020, allowing for a 16 week period</w:t>
      </w:r>
      <w:r>
        <w:t xml:space="preserve">. </w:t>
      </w:r>
    </w:p>
    <w:p w14:paraId="684B7A92" w14:textId="77777777" w:rsidR="00627C0C" w:rsidRDefault="00627C0C" w:rsidP="000A57A3">
      <w:pPr>
        <w:pStyle w:val="Heading2"/>
      </w:pPr>
      <w:r>
        <w:t>Statistical analysis plan</w:t>
      </w:r>
    </w:p>
    <w:p w14:paraId="6F617A14" w14:textId="11A8B711" w:rsidR="00837757" w:rsidRPr="00837757" w:rsidRDefault="00837757" w:rsidP="00837757">
      <w:r w:rsidRPr="00837757">
        <w:t xml:space="preserve">The primary outcome </w:t>
      </w:r>
      <w:r>
        <w:t>is</w:t>
      </w:r>
      <w:r w:rsidRPr="00837757">
        <w:t xml:space="preserve"> </w:t>
      </w:r>
      <w:r>
        <w:t xml:space="preserve">the identification of </w:t>
      </w:r>
      <w:r w:rsidRPr="00837757">
        <w:t xml:space="preserve">cancer </w:t>
      </w:r>
      <w:r>
        <w:t>at a</w:t>
      </w:r>
      <w:r w:rsidRPr="00837757">
        <w:t xml:space="preserve"> minimum of 6 months follow-up. </w:t>
      </w:r>
    </w:p>
    <w:p w14:paraId="09953DFD" w14:textId="7193B54D" w:rsidR="00837757" w:rsidRPr="00837757" w:rsidRDefault="00837757" w:rsidP="00837757">
      <w:r w:rsidRPr="00837757">
        <w:t xml:space="preserve">Categorical variables </w:t>
      </w:r>
      <w:r>
        <w:t>will be</w:t>
      </w:r>
      <w:r w:rsidRPr="00837757">
        <w:t xml:space="preserve"> compared using the Chi squared test with Yates’ correction, with a two-tailed p value of 0·05 taken as significant. Analysis </w:t>
      </w:r>
      <w:r>
        <w:t>will</w:t>
      </w:r>
      <w:r w:rsidRPr="00837757">
        <w:t xml:space="preserve"> </w:t>
      </w:r>
      <w:r>
        <w:t xml:space="preserve">be </w:t>
      </w:r>
      <w:r w:rsidRPr="00837757">
        <w:t>performed using R statistical software (R Foundation, Vienna, Austria).</w:t>
      </w:r>
    </w:p>
    <w:p w14:paraId="32AA2D8C" w14:textId="33EDBE42" w:rsidR="00627C0C" w:rsidRDefault="00627C0C" w:rsidP="000A57A3">
      <w:r>
        <w:t xml:space="preserve">The project management team, alongside ENT UK, may perform further analysis of the anonymised data as part of subsequent studies. </w:t>
      </w:r>
    </w:p>
    <w:p w14:paraId="53340B01" w14:textId="0E971A8E" w:rsidR="00570FB0" w:rsidRDefault="00570FB0" w:rsidP="000A57A3"/>
    <w:p w14:paraId="55E2705C" w14:textId="76C519FE" w:rsidR="00570FB0" w:rsidRDefault="00570FB0" w:rsidP="000A57A3">
      <w:pPr>
        <w:pStyle w:val="Heading1"/>
      </w:pPr>
      <w:bookmarkStart w:id="8" w:name="_Toc36479641"/>
      <w:r>
        <w:lastRenderedPageBreak/>
        <w:t>Data management</w:t>
      </w:r>
      <w:bookmarkEnd w:id="8"/>
    </w:p>
    <w:p w14:paraId="1755E568" w14:textId="77777777" w:rsidR="00707835" w:rsidRDefault="00707835" w:rsidP="000A57A3">
      <w:pPr>
        <w:pStyle w:val="Heading2"/>
      </w:pPr>
      <w:r>
        <w:t>Data collection tools and source document identification</w:t>
      </w:r>
    </w:p>
    <w:p w14:paraId="554E8BF0" w14:textId="77777777" w:rsidR="00707835" w:rsidRDefault="00707835" w:rsidP="000A57A3">
      <w:pPr>
        <w:pStyle w:val="Heading3"/>
      </w:pPr>
      <w:r>
        <w:t>Source documents</w:t>
      </w:r>
    </w:p>
    <w:p w14:paraId="48BB3AA8" w14:textId="7A7064C0" w:rsidR="00707835" w:rsidRDefault="00707835" w:rsidP="000A57A3">
      <w:r>
        <w:t>The referral document</w:t>
      </w:r>
      <w:r w:rsidR="003D0ACA">
        <w:t xml:space="preserve"> and/or patient notes</w:t>
      </w:r>
      <w:r>
        <w:t xml:space="preserve"> will </w:t>
      </w:r>
      <w:r w:rsidR="003D0ACA">
        <w:t>provide the</w:t>
      </w:r>
      <w:r>
        <w:t xml:space="preserve"> patient age</w:t>
      </w:r>
      <w:r w:rsidR="003D0ACA">
        <w:t xml:space="preserve">, </w:t>
      </w:r>
      <w:r>
        <w:t>gender</w:t>
      </w:r>
      <w:r w:rsidR="003D0ACA">
        <w:t>, time since completion of treatment (if applicable) and primary site of cancer (if applicable).</w:t>
      </w:r>
    </w:p>
    <w:p w14:paraId="415B6921" w14:textId="10F53303" w:rsidR="00707835" w:rsidRPr="00CF476B" w:rsidRDefault="00707835" w:rsidP="000A57A3">
      <w:r>
        <w:t>Data will also be entered directly onto the eCRF</w:t>
      </w:r>
      <w:r w:rsidR="0021100D">
        <w:t xml:space="preserve"> and the patient record, see below. </w:t>
      </w:r>
    </w:p>
    <w:p w14:paraId="6ADCE2E3" w14:textId="2B75A1F9" w:rsidR="00707835" w:rsidRDefault="00707835" w:rsidP="000A57A3">
      <w:pPr>
        <w:pStyle w:val="Heading3"/>
      </w:pPr>
      <w:r>
        <w:t>Electronic case report form (eCRF)</w:t>
      </w:r>
    </w:p>
    <w:p w14:paraId="36F91EBE" w14:textId="1351B400" w:rsidR="00707835" w:rsidRPr="00CF476B" w:rsidRDefault="00707835" w:rsidP="000A57A3">
      <w:r>
        <w:t>The telephone triage will allow structured questions to be asked that would form part of a normal consultation for suspected H&amp;N cancer</w:t>
      </w:r>
      <w:r w:rsidR="003D0ACA">
        <w:t xml:space="preserve"> or for follow up of H&amp;N cancer following completion of treatment</w:t>
      </w:r>
      <w:r>
        <w:t xml:space="preserve">. Data will be recorded on the eCRF and participating trusts will also follow usual practices in recording this information on the patient record, e.g. a clinic letter and/or an entry in the paper/electronic notes. </w:t>
      </w:r>
      <w:r w:rsidR="0021100D">
        <w:t xml:space="preserve">As such the data will be duplicated on the eCRF allowing appropriate destruction at the end of the service evaluation, see below. </w:t>
      </w:r>
    </w:p>
    <w:p w14:paraId="11ED4A08" w14:textId="0BE7AE20" w:rsidR="00707835" w:rsidRDefault="00707835" w:rsidP="000A57A3">
      <w:r>
        <w:t>The eCRF should be stored by the local team on an</w:t>
      </w:r>
      <w:r w:rsidRPr="00575F1F">
        <w:t xml:space="preserve"> NHS trust computer</w:t>
      </w:r>
      <w:r>
        <w:t xml:space="preserve">. Patient ID may be the NHS number or local Medical Record Number (MRN), assigned as part of standard of care. </w:t>
      </w:r>
    </w:p>
    <w:p w14:paraId="768DFCAB" w14:textId="77777777" w:rsidR="00707835" w:rsidRDefault="00707835" w:rsidP="000A57A3">
      <w:pPr>
        <w:pStyle w:val="Heading2"/>
      </w:pPr>
      <w:r>
        <w:t>Data handling and record keeping</w:t>
      </w:r>
    </w:p>
    <w:p w14:paraId="40233038" w14:textId="48665D15" w:rsidR="00707835" w:rsidRDefault="00707835" w:rsidP="000A57A3">
      <w:r>
        <w:t xml:space="preserve">The data </w:t>
      </w:r>
      <w:r w:rsidR="0021100D">
        <w:t>entered onto the</w:t>
      </w:r>
      <w:r>
        <w:t xml:space="preserve"> </w:t>
      </w:r>
      <w:r w:rsidR="0021100D">
        <w:t>e</w:t>
      </w:r>
      <w:r>
        <w:t xml:space="preserve">CRF </w:t>
      </w:r>
      <w:r w:rsidR="0021100D">
        <w:t xml:space="preserve">should </w:t>
      </w:r>
      <w:r>
        <w:t>be held on a</w:t>
      </w:r>
      <w:r w:rsidR="0021100D">
        <w:t>n NHS trust computer, in a</w:t>
      </w:r>
      <w:r>
        <w:t xml:space="preserve"> folder </w:t>
      </w:r>
      <w:r w:rsidR="0021100D">
        <w:t xml:space="preserve">with </w:t>
      </w:r>
      <w:r>
        <w:t>security system</w:t>
      </w:r>
      <w:r w:rsidR="0021100D">
        <w:t>s</w:t>
      </w:r>
      <w:r>
        <w:t xml:space="preserve"> to protect against unauthorized access.</w:t>
      </w:r>
      <w:r w:rsidR="0021100D">
        <w:t xml:space="preserve"> At the end of the project, once follow up data has been recorded, the patient ID should be removed, and the fully anonymised data submitted to the project management team via nhs.net email.</w:t>
      </w:r>
    </w:p>
    <w:p w14:paraId="7C6BD1E9" w14:textId="1C6A0E88" w:rsidR="0021100D" w:rsidRDefault="0021100D" w:rsidP="000A57A3">
      <w:r>
        <w:t xml:space="preserve">The project management team will assign </w:t>
      </w:r>
      <w:r w:rsidR="00A34CB1">
        <w:t xml:space="preserve">a 2 letter code </w:t>
      </w:r>
      <w:r w:rsidR="00AB37D5">
        <w:t xml:space="preserve">(relating to site) and a </w:t>
      </w:r>
      <w:r w:rsidR="00A34CB1">
        <w:t xml:space="preserve">3 digit </w:t>
      </w:r>
      <w:r w:rsidR="00AB37D5">
        <w:t xml:space="preserve">sequential </w:t>
      </w:r>
      <w:r w:rsidR="00A34CB1">
        <w:t xml:space="preserve">number </w:t>
      </w:r>
      <w:r w:rsidR="00AB37D5">
        <w:t xml:space="preserve">for each record </w:t>
      </w:r>
      <w:r>
        <w:t>received (</w:t>
      </w:r>
      <w:r w:rsidR="00A34CB1">
        <w:t>e.g., AA-</w:t>
      </w:r>
      <w:r>
        <w:t xml:space="preserve">001, </w:t>
      </w:r>
      <w:r w:rsidR="00A34CB1">
        <w:t>AA-</w:t>
      </w:r>
      <w:r>
        <w:t xml:space="preserve">002, </w:t>
      </w:r>
      <w:r w:rsidR="00A34CB1">
        <w:t>AA-</w:t>
      </w:r>
      <w:r>
        <w:t>003 etc)</w:t>
      </w:r>
      <w:r w:rsidR="00AB37D5">
        <w:t xml:space="preserve">. The anonymised records received will not reference the </w:t>
      </w:r>
      <w:r>
        <w:t>submitt</w:t>
      </w:r>
      <w:r w:rsidR="002F119B">
        <w:t>ing</w:t>
      </w:r>
      <w:r>
        <w:t xml:space="preserve"> </w:t>
      </w:r>
      <w:r w:rsidR="00AB37D5">
        <w:t>site</w:t>
      </w:r>
      <w:r>
        <w:t xml:space="preserve">. A log will be kept of which hospitals have submitted data to prevent duplication. </w:t>
      </w:r>
    </w:p>
    <w:p w14:paraId="20FDB72D" w14:textId="77777777" w:rsidR="00707835" w:rsidRDefault="00707835" w:rsidP="000A57A3">
      <w:pPr>
        <w:pStyle w:val="Heading2"/>
      </w:pPr>
      <w:r>
        <w:t>Access to data</w:t>
      </w:r>
    </w:p>
    <w:p w14:paraId="169CDFE2" w14:textId="500912E9" w:rsidR="00AB37D5" w:rsidRDefault="0021100D" w:rsidP="000A57A3">
      <w:r>
        <w:t xml:space="preserve">Local sites will have full access to their identifiable data prior to submission. </w:t>
      </w:r>
      <w:r w:rsidR="00AB37D5" w:rsidRPr="00AB37D5">
        <w:t xml:space="preserve">De-identified data </w:t>
      </w:r>
      <w:r w:rsidR="00AB37D5">
        <w:t>may</w:t>
      </w:r>
      <w:r w:rsidR="00AB37D5" w:rsidRPr="00AB37D5">
        <w:t xml:space="preserve"> be made available</w:t>
      </w:r>
      <w:r w:rsidR="00627631">
        <w:t xml:space="preserve"> to applicants who submit a </w:t>
      </w:r>
      <w:r w:rsidR="00AB37D5" w:rsidRPr="00AB37D5">
        <w:t xml:space="preserve">proposal </w:t>
      </w:r>
      <w:r w:rsidR="00AB37D5">
        <w:t>which receives</w:t>
      </w:r>
      <w:r w:rsidR="00AB37D5" w:rsidRPr="00AB37D5">
        <w:t xml:space="preserve"> approval from</w:t>
      </w:r>
      <w:r w:rsidR="00627631">
        <w:t>:</w:t>
      </w:r>
      <w:r w:rsidR="00AB37D5" w:rsidRPr="00AB37D5">
        <w:t xml:space="preserve"> </w:t>
      </w:r>
      <w:proofErr w:type="gramStart"/>
      <w:r w:rsidR="00AB37D5" w:rsidRPr="00AB37D5">
        <w:t>the</w:t>
      </w:r>
      <w:proofErr w:type="gramEnd"/>
      <w:r w:rsidR="00AB37D5" w:rsidRPr="00AB37D5">
        <w:t xml:space="preserve"> Project Management Team</w:t>
      </w:r>
      <w:r w:rsidR="00627631">
        <w:t xml:space="preserve">; </w:t>
      </w:r>
      <w:r w:rsidR="00AB37D5" w:rsidRPr="00AB37D5">
        <w:t>ENT UK HN council</w:t>
      </w:r>
      <w:r w:rsidR="00627631">
        <w:t>;</w:t>
      </w:r>
      <w:r w:rsidR="00AB37D5" w:rsidRPr="00AB37D5">
        <w:t xml:space="preserve"> BAHNO council</w:t>
      </w:r>
      <w:r w:rsidR="00627631">
        <w:t>;</w:t>
      </w:r>
      <w:r w:rsidR="00AB37D5" w:rsidRPr="00AB37D5">
        <w:t xml:space="preserve"> and INTEGRATE main committee</w:t>
      </w:r>
      <w:r w:rsidR="00627631">
        <w:t xml:space="preserve">. A </w:t>
      </w:r>
      <w:r w:rsidR="00AB37D5" w:rsidRPr="00AB37D5">
        <w:t>signed Data Sharing Agreement</w:t>
      </w:r>
      <w:r w:rsidR="00627631">
        <w:t xml:space="preserve"> may be required.</w:t>
      </w:r>
    </w:p>
    <w:p w14:paraId="17ADA5A9" w14:textId="77777777" w:rsidR="00707835" w:rsidRDefault="00707835" w:rsidP="000A57A3">
      <w:pPr>
        <w:pStyle w:val="Heading2"/>
      </w:pPr>
      <w:r>
        <w:t>Archiving</w:t>
      </w:r>
    </w:p>
    <w:p w14:paraId="291E28D7" w14:textId="0E605790" w:rsidR="0021100D" w:rsidRDefault="0021100D" w:rsidP="000A57A3">
      <w:r>
        <w:lastRenderedPageBreak/>
        <w:t xml:space="preserve">Local eCRFs should be kept according to local data governance for 12 months following submission to allow appropriate local analysis and scrutiny from the project management team. At the end of this period, local eCRFs should be destroyed/deleted in line with local data governance policy. </w:t>
      </w:r>
    </w:p>
    <w:p w14:paraId="0283118D" w14:textId="74AF52E5" w:rsidR="00570FB0" w:rsidRDefault="0021100D" w:rsidP="000A57A3">
      <w:r>
        <w:t xml:space="preserve">The </w:t>
      </w:r>
      <w:r w:rsidR="001D02F1">
        <w:t xml:space="preserve">anonymised </w:t>
      </w:r>
      <w:r>
        <w:t xml:space="preserve">collated data will be held by the project management team for at least 5 years to allow for appropriate scrutiny and reanalysis. </w:t>
      </w:r>
    </w:p>
    <w:p w14:paraId="6456E49E" w14:textId="4AE8A5ED" w:rsidR="00570FB0" w:rsidRDefault="00570FB0" w:rsidP="000A57A3">
      <w:pPr>
        <w:pStyle w:val="Heading1"/>
      </w:pPr>
      <w:bookmarkStart w:id="9" w:name="_Toc36479642"/>
      <w:r>
        <w:lastRenderedPageBreak/>
        <w:t>Monitoring and quality assurance</w:t>
      </w:r>
      <w:bookmarkEnd w:id="9"/>
    </w:p>
    <w:p w14:paraId="26C95E27" w14:textId="461130D8" w:rsidR="0021100D" w:rsidRDefault="0021100D" w:rsidP="000A57A3">
      <w:pPr>
        <w:pStyle w:val="Heading2"/>
      </w:pPr>
      <w:r>
        <w:t>Monitoring</w:t>
      </w:r>
    </w:p>
    <w:p w14:paraId="5A32554E" w14:textId="2E41A0FA" w:rsidR="00570FB0" w:rsidRDefault="0021100D" w:rsidP="000A57A3">
      <w:r>
        <w:t xml:space="preserve">No interim monitoring is proposed by the project management team as data will only be received once the local service evaluations have completed. </w:t>
      </w:r>
    </w:p>
    <w:p w14:paraId="745F6110" w14:textId="56F3A1CC" w:rsidR="0021100D" w:rsidRDefault="0021100D" w:rsidP="000A57A3">
      <w:pPr>
        <w:pStyle w:val="Heading2"/>
      </w:pPr>
      <w:r>
        <w:t>Quality assurance</w:t>
      </w:r>
    </w:p>
    <w:p w14:paraId="2C50E034" w14:textId="7E236630" w:rsidR="0021100D" w:rsidRDefault="0021100D" w:rsidP="000A57A3">
      <w:r>
        <w:t>The eCRF will only allow data entry from drop down menus to ensure consistency. Only the patient ID is a free field, and this will be removed prior to submission. Sites submitting inadequate follow up data will be challenged and attempts made to improve data completeness in this field. Sites with exceptionally low levels of data completeness for follow up will be highlighted anonymously in the subsequent analysis.</w:t>
      </w:r>
    </w:p>
    <w:p w14:paraId="7E0CE004" w14:textId="48E031B7" w:rsidR="00570FB0" w:rsidRDefault="00570FB0" w:rsidP="000A57A3">
      <w:pPr>
        <w:pStyle w:val="Heading1"/>
      </w:pPr>
      <w:bookmarkStart w:id="10" w:name="_Toc36479643"/>
      <w:r>
        <w:lastRenderedPageBreak/>
        <w:t>Ethical considerations</w:t>
      </w:r>
      <w:bookmarkEnd w:id="10"/>
    </w:p>
    <w:p w14:paraId="5BE00AC7" w14:textId="6DC871BC" w:rsidR="00570FB0" w:rsidRDefault="00125360" w:rsidP="000A57A3">
      <w:r>
        <w:t xml:space="preserve">This project has been determined as service evaluation using the HRA decision tool available at </w:t>
      </w:r>
      <w:hyperlink r:id="rId11" w:history="1">
        <w:r w:rsidRPr="007D0373">
          <w:rPr>
            <w:rStyle w:val="Hyperlink"/>
          </w:rPr>
          <w:t>http://www.hra-decisiontools.org.uk/research/</w:t>
        </w:r>
      </w:hyperlink>
      <w:r w:rsidR="006A3E51">
        <w:t>.</w:t>
      </w:r>
    </w:p>
    <w:p w14:paraId="20BC0032" w14:textId="5379373E" w:rsidR="00125360" w:rsidRDefault="00125360" w:rsidP="000A57A3">
      <w:r>
        <w:t xml:space="preserve">The output from this process is available in appendix </w:t>
      </w:r>
      <w:r w:rsidR="00745678">
        <w:t>1</w:t>
      </w:r>
      <w:r>
        <w:t>.</w:t>
      </w:r>
    </w:p>
    <w:p w14:paraId="4FDA1AB8" w14:textId="1A5931FB" w:rsidR="00570FB0" w:rsidRPr="00570FB0" w:rsidRDefault="00570FB0" w:rsidP="000A57A3">
      <w:pPr>
        <w:pStyle w:val="Heading1"/>
      </w:pPr>
      <w:bookmarkStart w:id="11" w:name="_Toc36479644"/>
      <w:r>
        <w:lastRenderedPageBreak/>
        <w:t>Dissemination policy</w:t>
      </w:r>
      <w:bookmarkEnd w:id="11"/>
    </w:p>
    <w:p w14:paraId="026276FF" w14:textId="1C451590" w:rsidR="00125360" w:rsidRDefault="00125360" w:rsidP="000A57A3">
      <w:r>
        <w:t xml:space="preserve">Data arising from the project are owned by the individual trusts. Anonymised collated data will be owned by the project management team and ENT UK. Results from the service evaluation will aim to be presented at an ENT UK national meeting, subject to approval. Findings may also be submitted for publication to a relevant peer reviewed journal.  </w:t>
      </w:r>
    </w:p>
    <w:p w14:paraId="5DEC62D0" w14:textId="6093054F" w:rsidR="00125360" w:rsidRPr="000B097F" w:rsidRDefault="00125360" w:rsidP="000A57A3">
      <w:r>
        <w:t xml:space="preserve">Authorship will be granted in line with criteria defined by </w:t>
      </w:r>
      <w:r w:rsidRPr="00372F93">
        <w:t>The International Committee of Medical Journal Editors</w:t>
      </w:r>
      <w:r>
        <w:t>. C</w:t>
      </w:r>
      <w:r w:rsidRPr="00125360">
        <w:t>ollaborators from each</w:t>
      </w:r>
      <w:r>
        <w:t xml:space="preserve"> participating</w:t>
      </w:r>
      <w:r w:rsidRPr="00125360">
        <w:t xml:space="preserve"> site </w:t>
      </w:r>
      <w:r>
        <w:t xml:space="preserve">to submit data </w:t>
      </w:r>
      <w:r w:rsidRPr="00125360">
        <w:t>will be recognised on any resulting publications as PubMed-citable co-authors</w:t>
      </w:r>
      <w:r>
        <w:t xml:space="preserve"> using a </w:t>
      </w:r>
      <w:r w:rsidRPr="00125360">
        <w:t>corporate authorship model</w:t>
      </w:r>
      <w:r>
        <w:t>.</w:t>
      </w:r>
    </w:p>
    <w:p w14:paraId="7D088E69" w14:textId="12543F2B" w:rsidR="002941CD" w:rsidRDefault="002941CD" w:rsidP="000A57A3">
      <w:r>
        <w:br w:type="page"/>
      </w:r>
    </w:p>
    <w:p w14:paraId="5873C59B" w14:textId="397B3689" w:rsidR="002941CD" w:rsidRDefault="002941CD" w:rsidP="000A57A3">
      <w:pPr>
        <w:pStyle w:val="Heading1"/>
      </w:pPr>
      <w:bookmarkStart w:id="12" w:name="_Toc36479645"/>
      <w:r>
        <w:lastRenderedPageBreak/>
        <w:t>References</w:t>
      </w:r>
      <w:bookmarkEnd w:id="12"/>
    </w:p>
    <w:p w14:paraId="641A87CA" w14:textId="77777777" w:rsidR="003D0ACA" w:rsidRPr="003D0ACA" w:rsidRDefault="002941CD" w:rsidP="003D0ACA">
      <w:pPr>
        <w:pStyle w:val="Bibliography"/>
        <w:rPr>
          <w:rFonts w:ascii="Calibri Light" w:cs="Calibri Light"/>
          <w:color w:val="000000"/>
        </w:rPr>
      </w:pPr>
      <w:r>
        <w:fldChar w:fldCharType="begin"/>
      </w:r>
      <w:r w:rsidR="003D0ACA">
        <w:instrText xml:space="preserve"> ADDIN ZOTERO_BIBL {"uncited":[],"omitted":[],"custom":[]} CSL_BIBLIOGRAPHY </w:instrText>
      </w:r>
      <w:r>
        <w:fldChar w:fldCharType="separate"/>
      </w:r>
      <w:r w:rsidR="003D0ACA" w:rsidRPr="003D0ACA">
        <w:rPr>
          <w:rFonts w:ascii="Calibri Light" w:cs="Calibri Light"/>
          <w:color w:val="000000"/>
        </w:rPr>
        <w:t xml:space="preserve">1. </w:t>
      </w:r>
      <w:r w:rsidR="003D0ACA" w:rsidRPr="003D0ACA">
        <w:rPr>
          <w:rFonts w:ascii="Calibri Light" w:cs="Calibri Light"/>
          <w:color w:val="000000"/>
        </w:rPr>
        <w:tab/>
        <w:t>NHS England and NHS Improvement coronavirus. Cancer alliance information on managing cancer referrals [Internet]. 2020 [cited 2020 Mar 24]. Available from: https://www.england.nhs.uk/coronavirus/wp-content/uploads/sites/52/2020/03/cancer-alliance-information-on-managing-cancer-referrals-19-march-2020.pdf</w:t>
      </w:r>
    </w:p>
    <w:p w14:paraId="68D847AB" w14:textId="77777777" w:rsidR="003D0ACA" w:rsidRPr="003D0ACA" w:rsidRDefault="003D0ACA" w:rsidP="003D0ACA">
      <w:pPr>
        <w:pStyle w:val="Bibliography"/>
        <w:rPr>
          <w:rFonts w:ascii="Calibri Light" w:cs="Calibri Light"/>
          <w:color w:val="000000"/>
        </w:rPr>
      </w:pPr>
      <w:r w:rsidRPr="003D0ACA">
        <w:rPr>
          <w:rFonts w:ascii="Calibri Light" w:cs="Calibri Light"/>
          <w:color w:val="000000"/>
        </w:rPr>
        <w:t xml:space="preserve">2. </w:t>
      </w:r>
      <w:r w:rsidRPr="003D0ACA">
        <w:rPr>
          <w:rFonts w:ascii="Calibri Light" w:cs="Calibri Light"/>
          <w:color w:val="000000"/>
        </w:rPr>
        <w:tab/>
        <w:t>Guidance for ENT during the COVID-19 pandemic [Internet]. [cited 2020 Mar 24]. Available from: https://www.entuk.org/guidance-ent-during-covid-19-pandemic</w:t>
      </w:r>
    </w:p>
    <w:p w14:paraId="4C424B8E" w14:textId="77777777" w:rsidR="003D0ACA" w:rsidRPr="003D0ACA" w:rsidRDefault="003D0ACA" w:rsidP="003D0ACA">
      <w:pPr>
        <w:pStyle w:val="Bibliography"/>
        <w:rPr>
          <w:rFonts w:ascii="Calibri Light" w:cs="Calibri Light"/>
          <w:color w:val="000000"/>
        </w:rPr>
      </w:pPr>
      <w:r w:rsidRPr="003D0ACA">
        <w:rPr>
          <w:rFonts w:ascii="Calibri Light" w:cs="Calibri Light"/>
          <w:color w:val="000000"/>
        </w:rPr>
        <w:t xml:space="preserve">3. </w:t>
      </w:r>
      <w:r w:rsidRPr="003D0ACA">
        <w:rPr>
          <w:rFonts w:ascii="Calibri Light" w:cs="Calibri Light"/>
          <w:color w:val="000000"/>
        </w:rPr>
        <w:tab/>
        <w:t xml:space="preserve">Tikka T, Pracy P, Paleri V. Refining the head and neck cancer referral guidelines: a two-centre analysis of 4715 referrals. Clin Otolaryngol. 2016 Feb;41(1):66–75. </w:t>
      </w:r>
    </w:p>
    <w:p w14:paraId="265957A9" w14:textId="77777777" w:rsidR="003D0ACA" w:rsidRPr="003D0ACA" w:rsidRDefault="003D0ACA" w:rsidP="003D0ACA">
      <w:pPr>
        <w:pStyle w:val="Bibliography"/>
        <w:rPr>
          <w:rFonts w:ascii="Calibri Light" w:cs="Calibri Light"/>
          <w:color w:val="000000"/>
        </w:rPr>
      </w:pPr>
      <w:r w:rsidRPr="003D0ACA">
        <w:rPr>
          <w:rFonts w:ascii="Calibri Light" w:cs="Calibri Light"/>
          <w:color w:val="000000"/>
        </w:rPr>
        <w:t xml:space="preserve">4. </w:t>
      </w:r>
      <w:r w:rsidRPr="003D0ACA">
        <w:rPr>
          <w:rFonts w:ascii="Calibri Light" w:cs="Calibri Light"/>
          <w:color w:val="000000"/>
        </w:rPr>
        <w:tab/>
        <w:t xml:space="preserve">Tikka T, Paleri V, MacKenzie K. External validation of a cancer risk prediction model for suspected head and neck cancer referrals. Clin Otolaryngol. 2018;43(2):714–7. </w:t>
      </w:r>
    </w:p>
    <w:p w14:paraId="4C84B666" w14:textId="77777777" w:rsidR="003D0ACA" w:rsidRPr="003D0ACA" w:rsidRDefault="003D0ACA" w:rsidP="003D0ACA">
      <w:pPr>
        <w:pStyle w:val="Bibliography"/>
        <w:rPr>
          <w:rFonts w:ascii="Calibri Light" w:cs="Calibri Light"/>
          <w:color w:val="000000"/>
        </w:rPr>
      </w:pPr>
      <w:r w:rsidRPr="003D0ACA">
        <w:rPr>
          <w:rFonts w:ascii="Calibri Light" w:cs="Calibri Light"/>
          <w:color w:val="000000"/>
        </w:rPr>
        <w:t xml:space="preserve">5. </w:t>
      </w:r>
      <w:r w:rsidRPr="003D0ACA">
        <w:rPr>
          <w:rFonts w:ascii="Calibri Light" w:cs="Calibri Light"/>
          <w:color w:val="000000"/>
        </w:rPr>
        <w:tab/>
        <w:t xml:space="preserve">Tikka T, Kavanagh K, Lowit A, Jiafeng P, Burns H, Nixon IJ, et al. Head and neck cancer risk calculator (HaNC-RC)-V.2. Adjustments and addition of symptoms and social history factors. Clin Otolaryngol. 2020 Jan 27; </w:t>
      </w:r>
    </w:p>
    <w:p w14:paraId="1A565640" w14:textId="77777777" w:rsidR="003D0ACA" w:rsidRPr="003D0ACA" w:rsidRDefault="003D0ACA" w:rsidP="003D0ACA">
      <w:pPr>
        <w:pStyle w:val="Bibliography"/>
        <w:rPr>
          <w:rFonts w:ascii="Calibri Light" w:cs="Calibri Light"/>
          <w:color w:val="000000"/>
        </w:rPr>
      </w:pPr>
      <w:r w:rsidRPr="003D0ACA">
        <w:rPr>
          <w:rFonts w:ascii="Calibri Light" w:cs="Calibri Light"/>
          <w:color w:val="000000"/>
        </w:rPr>
        <w:t xml:space="preserve">6. </w:t>
      </w:r>
      <w:r w:rsidRPr="003D0ACA">
        <w:rPr>
          <w:rFonts w:ascii="Calibri Light" w:cs="Calibri Light"/>
          <w:color w:val="000000"/>
        </w:rPr>
        <w:tab/>
        <w:t xml:space="preserve">Hardman J, Tikka T, on behalf of INTEGRATE (The UK ENT Trainee Research Network). United Kingdom Head and Neck Cancer Surveillance study 2018 [Presentation]. Presentation presented at: BAHNO 2019 Annual Scientific Meeting; 2019 May 17; Royal College of Physicians, London, UK. </w:t>
      </w:r>
    </w:p>
    <w:p w14:paraId="7D379E01" w14:textId="77777777" w:rsidR="003D0ACA" w:rsidRPr="003D0ACA" w:rsidRDefault="003D0ACA" w:rsidP="003D0ACA">
      <w:pPr>
        <w:pStyle w:val="Bibliography"/>
        <w:rPr>
          <w:rFonts w:ascii="Calibri Light" w:cs="Calibri Light"/>
          <w:color w:val="000000"/>
        </w:rPr>
      </w:pPr>
      <w:r w:rsidRPr="003D0ACA">
        <w:rPr>
          <w:rFonts w:ascii="Calibri Light" w:cs="Calibri Light"/>
          <w:color w:val="000000"/>
        </w:rPr>
        <w:t xml:space="preserve">7. </w:t>
      </w:r>
      <w:r w:rsidRPr="003D0ACA">
        <w:rPr>
          <w:rFonts w:ascii="Calibri Light" w:cs="Calibri Light"/>
          <w:color w:val="000000"/>
        </w:rPr>
        <w:tab/>
        <w:t xml:space="preserve">Twycross A, Shorten A. Service evaluation, audit and research: what is the difference? Evidence-Based Nursing. 2014 Jul 1;17(3):65–6. </w:t>
      </w:r>
    </w:p>
    <w:p w14:paraId="7DCF1C4C" w14:textId="5E3F5D03" w:rsidR="00745678" w:rsidRDefault="002941CD" w:rsidP="000A57A3">
      <w:r>
        <w:fldChar w:fldCharType="end"/>
      </w:r>
    </w:p>
    <w:p w14:paraId="23C141A0" w14:textId="77777777" w:rsidR="00745678" w:rsidRDefault="00745678" w:rsidP="000A57A3">
      <w:r>
        <w:br w:type="page"/>
      </w:r>
    </w:p>
    <w:p w14:paraId="076669B5" w14:textId="72A73EEC" w:rsidR="002941CD" w:rsidRDefault="00745678" w:rsidP="000A57A3">
      <w:pPr>
        <w:pStyle w:val="Heading1"/>
      </w:pPr>
      <w:bookmarkStart w:id="13" w:name="_Toc36479646"/>
      <w:r>
        <w:rPr>
          <w:noProof/>
        </w:rPr>
        <w:lastRenderedPageBreak/>
        <w:drawing>
          <wp:anchor distT="0" distB="0" distL="114300" distR="114300" simplePos="0" relativeHeight="251658240" behindDoc="0" locked="0" layoutInCell="1" allowOverlap="1" wp14:anchorId="18E8F763" wp14:editId="39CBDA32">
            <wp:simplePos x="0" y="0"/>
            <wp:positionH relativeFrom="margin">
              <wp:align>center</wp:align>
            </wp:positionH>
            <wp:positionV relativeFrom="margin">
              <wp:align>center</wp:align>
            </wp:positionV>
            <wp:extent cx="4712335" cy="7103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WTT_HRA decision tool Result - NOT Research.pdf"/>
                    <pic:cNvPicPr/>
                  </pic:nvPicPr>
                  <pic:blipFill rotWithShape="1">
                    <a:blip r:embed="rId12" cstate="screen">
                      <a:extLst>
                        <a:ext uri="{28A0092B-C50C-407E-A947-70E740481C1C}">
                          <a14:useLocalDpi xmlns:a14="http://schemas.microsoft.com/office/drawing/2010/main"/>
                        </a:ext>
                      </a:extLst>
                    </a:blip>
                    <a:srcRect l="8899" r="8859" b="12295"/>
                    <a:stretch/>
                  </pic:blipFill>
                  <pic:spPr bwMode="auto">
                    <a:xfrm>
                      <a:off x="0" y="0"/>
                      <a:ext cx="4712335" cy="7103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Appendix 1</w:t>
      </w:r>
      <w:bookmarkEnd w:id="13"/>
    </w:p>
    <w:p w14:paraId="7B470623" w14:textId="37D49D67" w:rsidR="00745678" w:rsidRPr="00745678" w:rsidRDefault="00745678" w:rsidP="000A57A3"/>
    <w:sectPr w:rsidR="00745678" w:rsidRPr="00745678" w:rsidSect="00745678">
      <w:headerReference w:type="default" r:id="rId13"/>
      <w:footerReference w:type="even" r:id="rId14"/>
      <w:footerReference w:type="default" r:id="rId15"/>
      <w:pgSz w:w="11905" w:h="16837"/>
      <w:pgMar w:top="1814" w:right="1814" w:bottom="1814"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26C47" w14:textId="77777777" w:rsidR="00614304" w:rsidRDefault="00614304" w:rsidP="000A57A3">
      <w:r>
        <w:separator/>
      </w:r>
    </w:p>
  </w:endnote>
  <w:endnote w:type="continuationSeparator" w:id="0">
    <w:p w14:paraId="120C76F8" w14:textId="77777777" w:rsidR="00614304" w:rsidRDefault="00614304" w:rsidP="000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ondon Tube">
    <w:altName w:val="London Tube Normal"/>
    <w:panose1 w:val="00000000000000000000"/>
    <w:charset w:val="00"/>
    <w:family w:val="auto"/>
    <w:pitch w:val="variable"/>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Calibri (Body)">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4194627"/>
      <w:docPartObj>
        <w:docPartGallery w:val="Page Numbers (Bottom of Page)"/>
        <w:docPartUnique/>
      </w:docPartObj>
    </w:sdtPr>
    <w:sdtEndPr>
      <w:rPr>
        <w:rStyle w:val="PageNumber"/>
      </w:rPr>
    </w:sdtEndPr>
    <w:sdtContent>
      <w:p w14:paraId="72EC4B79" w14:textId="39066BA0" w:rsidR="00745678" w:rsidRDefault="00745678" w:rsidP="000A57A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86553164"/>
      <w:docPartObj>
        <w:docPartGallery w:val="Page Numbers (Bottom of Page)"/>
        <w:docPartUnique/>
      </w:docPartObj>
    </w:sdtPr>
    <w:sdtEndPr>
      <w:rPr>
        <w:rStyle w:val="PageNumber"/>
      </w:rPr>
    </w:sdtEndPr>
    <w:sdtContent>
      <w:p w14:paraId="01CA8473" w14:textId="4C173B1C" w:rsidR="007A24E0" w:rsidRDefault="007A24E0" w:rsidP="000A57A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390432" w14:textId="77777777" w:rsidR="007A24E0" w:rsidRDefault="007A24E0" w:rsidP="000A5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87CB" w14:textId="37D7272A" w:rsidR="007A24E0" w:rsidRPr="00727A94" w:rsidRDefault="00727A94" w:rsidP="000A57A3">
    <w:pPr>
      <w:pStyle w:val="Footer"/>
      <w:rPr>
        <w:rStyle w:val="PageNumber"/>
        <w:color w:val="174B7D"/>
      </w:rPr>
    </w:pPr>
    <w:r w:rsidRPr="00727A94">
      <w:rPr>
        <w:rStyle w:val="PageNumber"/>
        <w:color w:val="174B7D"/>
      </w:rPr>
      <w:t xml:space="preserve">Page </w:t>
    </w:r>
    <w:r w:rsidRPr="00727A94">
      <w:rPr>
        <w:rStyle w:val="PageNumber"/>
        <w:color w:val="174B7D"/>
      </w:rPr>
      <w:fldChar w:fldCharType="begin"/>
    </w:r>
    <w:r w:rsidRPr="00727A94">
      <w:rPr>
        <w:rStyle w:val="PageNumber"/>
        <w:color w:val="174B7D"/>
      </w:rPr>
      <w:instrText xml:space="preserve"> PAGE </w:instrText>
    </w:r>
    <w:r w:rsidRPr="00727A94">
      <w:rPr>
        <w:rStyle w:val="PageNumber"/>
        <w:color w:val="174B7D"/>
      </w:rPr>
      <w:fldChar w:fldCharType="separate"/>
    </w:r>
    <w:r w:rsidRPr="00727A94">
      <w:rPr>
        <w:rStyle w:val="PageNumber"/>
        <w:noProof/>
        <w:color w:val="174B7D"/>
      </w:rPr>
      <w:t>1</w:t>
    </w:r>
    <w:r w:rsidRPr="00727A94">
      <w:rPr>
        <w:rStyle w:val="PageNumber"/>
        <w:color w:val="174B7D"/>
      </w:rPr>
      <w:fldChar w:fldCharType="end"/>
    </w:r>
    <w:r w:rsidRPr="00727A94">
      <w:rPr>
        <w:rStyle w:val="PageNumber"/>
        <w:color w:val="174B7D"/>
      </w:rPr>
      <w:t xml:space="preserve"> of </w:t>
    </w:r>
    <w:r w:rsidRPr="00727A94">
      <w:rPr>
        <w:rStyle w:val="PageNumber"/>
        <w:color w:val="174B7D"/>
      </w:rPr>
      <w:fldChar w:fldCharType="begin"/>
    </w:r>
    <w:r w:rsidRPr="00727A94">
      <w:rPr>
        <w:rStyle w:val="PageNumber"/>
        <w:color w:val="174B7D"/>
      </w:rPr>
      <w:instrText xml:space="preserve"> NUMPAGES </w:instrText>
    </w:r>
    <w:r w:rsidRPr="00727A94">
      <w:rPr>
        <w:rStyle w:val="PageNumber"/>
        <w:color w:val="174B7D"/>
      </w:rPr>
      <w:fldChar w:fldCharType="separate"/>
    </w:r>
    <w:r w:rsidRPr="00727A94">
      <w:rPr>
        <w:rStyle w:val="PageNumber"/>
        <w:noProof/>
        <w:color w:val="174B7D"/>
      </w:rPr>
      <w:t>18</w:t>
    </w:r>
    <w:r w:rsidRPr="00727A94">
      <w:rPr>
        <w:rStyle w:val="PageNumber"/>
        <w:color w:val="174B7D"/>
      </w:rPr>
      <w:fldChar w:fldCharType="end"/>
    </w:r>
  </w:p>
  <w:p w14:paraId="1DF210D2" w14:textId="77777777" w:rsidR="007A24E0" w:rsidRPr="00727A94" w:rsidRDefault="007A24E0" w:rsidP="000A5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43717" w14:textId="77777777" w:rsidR="00614304" w:rsidRDefault="00614304" w:rsidP="000A57A3">
      <w:r>
        <w:separator/>
      </w:r>
    </w:p>
  </w:footnote>
  <w:footnote w:type="continuationSeparator" w:id="0">
    <w:p w14:paraId="4EFADB8E" w14:textId="77777777" w:rsidR="00614304" w:rsidRDefault="00614304" w:rsidP="000A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0ED46" w14:textId="578F3E36" w:rsidR="007A24E0" w:rsidRPr="001C170F" w:rsidRDefault="007A24E0" w:rsidP="000A57A3">
    <w:pPr>
      <w:pStyle w:val="Header"/>
      <w:rPr>
        <w:vertAlign w:val="superscript"/>
      </w:rPr>
    </w:pPr>
    <w:r w:rsidRPr="001C170F">
      <w:t>2WWTT Protocol</w:t>
    </w:r>
    <w:r w:rsidRPr="001C170F">
      <w:tab/>
      <w:t>v</w:t>
    </w:r>
    <w:r w:rsidR="00CC479F">
      <w:t>1.</w:t>
    </w:r>
    <w:r w:rsidR="00F564D8">
      <w:t>2</w:t>
    </w:r>
    <w:r w:rsidRPr="001C170F">
      <w:tab/>
    </w:r>
    <w:r w:rsidR="00F564D8">
      <w:t>19</w:t>
    </w:r>
    <w:r w:rsidR="00E8205B" w:rsidRPr="00E8205B">
      <w:rPr>
        <w:vertAlign w:val="superscript"/>
      </w:rPr>
      <w:t>th</w:t>
    </w:r>
    <w:r w:rsidR="00E8205B">
      <w:t xml:space="preserve"> </w:t>
    </w:r>
    <w:r w:rsidR="00F564D8">
      <w:t>March</w:t>
    </w:r>
    <w:r w:rsidRPr="001C170F">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2E62"/>
    <w:multiLevelType w:val="hybridMultilevel"/>
    <w:tmpl w:val="28E89D0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5F0360"/>
    <w:multiLevelType w:val="hybridMultilevel"/>
    <w:tmpl w:val="029442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E47E66"/>
    <w:multiLevelType w:val="multilevel"/>
    <w:tmpl w:val="2CAC30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EF27B3A"/>
    <w:multiLevelType w:val="multilevel"/>
    <w:tmpl w:val="A3D6D7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09F6609"/>
    <w:multiLevelType w:val="multilevel"/>
    <w:tmpl w:val="7100921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678369F"/>
    <w:multiLevelType w:val="multilevel"/>
    <w:tmpl w:val="33DCDE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DC82ABE"/>
    <w:multiLevelType w:val="multilevel"/>
    <w:tmpl w:val="EB30314E"/>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5767E3"/>
    <w:multiLevelType w:val="multilevel"/>
    <w:tmpl w:val="122C87B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5C36D1F"/>
    <w:multiLevelType w:val="hybridMultilevel"/>
    <w:tmpl w:val="08F042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C006DB"/>
    <w:multiLevelType w:val="hybridMultilevel"/>
    <w:tmpl w:val="C15441E2"/>
    <w:lvl w:ilvl="0" w:tplc="FF90F7E0">
      <w:start w:val="1"/>
      <w:numFmt w:val="bullet"/>
      <w:pStyle w:val="ListParagraph"/>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1652BB9"/>
    <w:multiLevelType w:val="multilevel"/>
    <w:tmpl w:val="29C4B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8A5B4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C2520BD"/>
    <w:multiLevelType w:val="hybridMultilevel"/>
    <w:tmpl w:val="3578A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D64325"/>
    <w:multiLevelType w:val="multilevel"/>
    <w:tmpl w:val="6B90E356"/>
    <w:lvl w:ilvl="0">
      <w:start w:val="1"/>
      <w:numFmt w:val="lowerLetter"/>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DD41D4"/>
    <w:multiLevelType w:val="multilevel"/>
    <w:tmpl w:val="50C4F4DE"/>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8F77D0"/>
    <w:multiLevelType w:val="hybridMultilevel"/>
    <w:tmpl w:val="6C603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A54785"/>
    <w:multiLevelType w:val="hybridMultilevel"/>
    <w:tmpl w:val="1422D95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0A3093"/>
    <w:multiLevelType w:val="hybridMultilevel"/>
    <w:tmpl w:val="871CE78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7"/>
  </w:num>
  <w:num w:numId="3">
    <w:abstractNumId w:val="7"/>
  </w:num>
  <w:num w:numId="4">
    <w:abstractNumId w:val="5"/>
  </w:num>
  <w:num w:numId="5">
    <w:abstractNumId w:val="5"/>
  </w:num>
  <w:num w:numId="6">
    <w:abstractNumId w:val="7"/>
  </w:num>
  <w:num w:numId="7">
    <w:abstractNumId w:val="7"/>
  </w:num>
  <w:num w:numId="8">
    <w:abstractNumId w:val="7"/>
  </w:num>
  <w:num w:numId="9">
    <w:abstractNumId w:val="11"/>
  </w:num>
  <w:num w:numId="10">
    <w:abstractNumId w:val="10"/>
  </w:num>
  <w:num w:numId="11">
    <w:abstractNumId w:val="10"/>
  </w:num>
  <w:num w:numId="12">
    <w:abstractNumId w:val="2"/>
  </w:num>
  <w:num w:numId="13">
    <w:abstractNumId w:val="2"/>
  </w:num>
  <w:num w:numId="14">
    <w:abstractNumId w:val="2"/>
  </w:num>
  <w:num w:numId="15">
    <w:abstractNumId w:val="7"/>
  </w:num>
  <w:num w:numId="16">
    <w:abstractNumId w:val="7"/>
  </w:num>
  <w:num w:numId="17">
    <w:abstractNumId w:val="5"/>
  </w:num>
  <w:num w:numId="18">
    <w:abstractNumId w:val="5"/>
  </w:num>
  <w:num w:numId="19">
    <w:abstractNumId w:val="5"/>
  </w:num>
  <w:num w:numId="20">
    <w:abstractNumId w:val="5"/>
  </w:num>
  <w:num w:numId="21">
    <w:abstractNumId w:val="5"/>
  </w:num>
  <w:num w:numId="22">
    <w:abstractNumId w:val="3"/>
  </w:num>
  <w:num w:numId="23">
    <w:abstractNumId w:val="3"/>
  </w:num>
  <w:num w:numId="24">
    <w:abstractNumId w:val="3"/>
  </w:num>
  <w:num w:numId="25">
    <w:abstractNumId w:val="17"/>
  </w:num>
  <w:num w:numId="26">
    <w:abstractNumId w:val="3"/>
  </w:num>
  <w:num w:numId="27">
    <w:abstractNumId w:val="12"/>
  </w:num>
  <w:num w:numId="28">
    <w:abstractNumId w:val="0"/>
  </w:num>
  <w:num w:numId="29">
    <w:abstractNumId w:val="15"/>
  </w:num>
  <w:num w:numId="30">
    <w:abstractNumId w:val="16"/>
  </w:num>
  <w:num w:numId="31">
    <w:abstractNumId w:val="8"/>
  </w:num>
  <w:num w:numId="32">
    <w:abstractNumId w:val="1"/>
  </w:num>
  <w:num w:numId="33">
    <w:abstractNumId w:val="4"/>
  </w:num>
  <w:num w:numId="34">
    <w:abstractNumId w:val="6"/>
  </w:num>
  <w:num w:numId="35">
    <w:abstractNumId w:val="13"/>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CD"/>
    <w:rsid w:val="000264AC"/>
    <w:rsid w:val="00032726"/>
    <w:rsid w:val="00033E6F"/>
    <w:rsid w:val="00034732"/>
    <w:rsid w:val="00052FF2"/>
    <w:rsid w:val="00080EC1"/>
    <w:rsid w:val="00082E43"/>
    <w:rsid w:val="000A57A3"/>
    <w:rsid w:val="000D1A25"/>
    <w:rsid w:val="000D55AC"/>
    <w:rsid w:val="0011623A"/>
    <w:rsid w:val="00125360"/>
    <w:rsid w:val="001C170F"/>
    <w:rsid w:val="001D02F1"/>
    <w:rsid w:val="001D6024"/>
    <w:rsid w:val="0021100D"/>
    <w:rsid w:val="00215D2A"/>
    <w:rsid w:val="002501BC"/>
    <w:rsid w:val="0026007F"/>
    <w:rsid w:val="002941CD"/>
    <w:rsid w:val="002C4076"/>
    <w:rsid w:val="002F119B"/>
    <w:rsid w:val="00320C20"/>
    <w:rsid w:val="00321BBA"/>
    <w:rsid w:val="00336EB8"/>
    <w:rsid w:val="0034035C"/>
    <w:rsid w:val="00386E20"/>
    <w:rsid w:val="003A2545"/>
    <w:rsid w:val="003D0ACA"/>
    <w:rsid w:val="00415F13"/>
    <w:rsid w:val="00417A88"/>
    <w:rsid w:val="004330DF"/>
    <w:rsid w:val="004A2D31"/>
    <w:rsid w:val="004A5BB5"/>
    <w:rsid w:val="004B6F67"/>
    <w:rsid w:val="004E5477"/>
    <w:rsid w:val="004E75D1"/>
    <w:rsid w:val="00500C3E"/>
    <w:rsid w:val="00532CEB"/>
    <w:rsid w:val="0053719B"/>
    <w:rsid w:val="00554B8F"/>
    <w:rsid w:val="00557B6C"/>
    <w:rsid w:val="00570FB0"/>
    <w:rsid w:val="00614304"/>
    <w:rsid w:val="00627631"/>
    <w:rsid w:val="00627C0C"/>
    <w:rsid w:val="00630DD1"/>
    <w:rsid w:val="006338CB"/>
    <w:rsid w:val="006649B3"/>
    <w:rsid w:val="006A3E51"/>
    <w:rsid w:val="006C5E24"/>
    <w:rsid w:val="006D187E"/>
    <w:rsid w:val="006E24DC"/>
    <w:rsid w:val="006E744A"/>
    <w:rsid w:val="00701B1F"/>
    <w:rsid w:val="00703F1F"/>
    <w:rsid w:val="00707835"/>
    <w:rsid w:val="00711290"/>
    <w:rsid w:val="00727A94"/>
    <w:rsid w:val="007312C7"/>
    <w:rsid w:val="00745678"/>
    <w:rsid w:val="00761FA7"/>
    <w:rsid w:val="00786DB4"/>
    <w:rsid w:val="007A24E0"/>
    <w:rsid w:val="007A2B65"/>
    <w:rsid w:val="007E3E35"/>
    <w:rsid w:val="007F0A97"/>
    <w:rsid w:val="00820C07"/>
    <w:rsid w:val="00835261"/>
    <w:rsid w:val="008369F3"/>
    <w:rsid w:val="00837757"/>
    <w:rsid w:val="00867334"/>
    <w:rsid w:val="008F6181"/>
    <w:rsid w:val="00954081"/>
    <w:rsid w:val="009779C8"/>
    <w:rsid w:val="00987A4D"/>
    <w:rsid w:val="009D63ED"/>
    <w:rsid w:val="009F5E47"/>
    <w:rsid w:val="00A114D4"/>
    <w:rsid w:val="00A157B1"/>
    <w:rsid w:val="00A25718"/>
    <w:rsid w:val="00A34CB1"/>
    <w:rsid w:val="00A4248A"/>
    <w:rsid w:val="00A508C5"/>
    <w:rsid w:val="00A73E32"/>
    <w:rsid w:val="00A77BB9"/>
    <w:rsid w:val="00AB2912"/>
    <w:rsid w:val="00AB37D5"/>
    <w:rsid w:val="00AC7E86"/>
    <w:rsid w:val="00B65BB7"/>
    <w:rsid w:val="00BA7DEE"/>
    <w:rsid w:val="00BB618C"/>
    <w:rsid w:val="00BC2447"/>
    <w:rsid w:val="00BC752B"/>
    <w:rsid w:val="00BE33AC"/>
    <w:rsid w:val="00C074C1"/>
    <w:rsid w:val="00C115B7"/>
    <w:rsid w:val="00C1569E"/>
    <w:rsid w:val="00CC30D5"/>
    <w:rsid w:val="00CC479F"/>
    <w:rsid w:val="00D83DAE"/>
    <w:rsid w:val="00DC0EE5"/>
    <w:rsid w:val="00E21820"/>
    <w:rsid w:val="00E35CD4"/>
    <w:rsid w:val="00E429D7"/>
    <w:rsid w:val="00E50530"/>
    <w:rsid w:val="00E56BE6"/>
    <w:rsid w:val="00E63E70"/>
    <w:rsid w:val="00E814C9"/>
    <w:rsid w:val="00E8205B"/>
    <w:rsid w:val="00E920AD"/>
    <w:rsid w:val="00EA1F18"/>
    <w:rsid w:val="00EA7C09"/>
    <w:rsid w:val="00EE691B"/>
    <w:rsid w:val="00EF22C8"/>
    <w:rsid w:val="00EF59B5"/>
    <w:rsid w:val="00F21921"/>
    <w:rsid w:val="00F27CB2"/>
    <w:rsid w:val="00F40D59"/>
    <w:rsid w:val="00F564D8"/>
    <w:rsid w:val="00F7018E"/>
    <w:rsid w:val="00F83F9D"/>
    <w:rsid w:val="00FB0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DA7C"/>
  <w14:defaultImageDpi w14:val="32767"/>
  <w15:chartTrackingRefBased/>
  <w15:docId w15:val="{184B7D87-C261-8F4C-B555-8D6C84DD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color w:val="000000" w:themeColor="text1"/>
        <w:lang w:val="en-GB"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57A3"/>
    <w:pPr>
      <w:spacing w:before="0" w:after="200"/>
    </w:pPr>
    <w:rPr>
      <w:rFonts w:asciiTheme="majorHAnsi" w:eastAsia="Times New Roman" w:hAnsiTheme="majorHAnsi" w:cstheme="majorHAnsi"/>
      <w:color w:val="212121"/>
    </w:rPr>
  </w:style>
  <w:style w:type="paragraph" w:styleId="Heading1">
    <w:name w:val="heading 1"/>
    <w:basedOn w:val="Normal"/>
    <w:next w:val="Normal"/>
    <w:link w:val="Heading1Char"/>
    <w:autoRedefine/>
    <w:uiPriority w:val="9"/>
    <w:qFormat/>
    <w:rsid w:val="0026007F"/>
    <w:pPr>
      <w:keepNext/>
      <w:keepLines/>
      <w:pageBreakBefore/>
      <w:numPr>
        <w:numId w:val="24"/>
      </w:numPr>
      <w:pBdr>
        <w:bottom w:val="single" w:sz="18" w:space="1" w:color="5DA1D2"/>
      </w:pBdr>
      <w:spacing w:before="240" w:after="360"/>
      <w:outlineLvl w:val="0"/>
    </w:pPr>
    <w:rPr>
      <w:rFonts w:ascii="London Tube" w:eastAsiaTheme="majorEastAsia" w:hAnsi="London Tube" w:cs="Times New Roman (Headings CS)"/>
      <w:smallCaps/>
      <w:color w:val="174B7D"/>
      <w:sz w:val="36"/>
      <w:szCs w:val="32"/>
    </w:rPr>
  </w:style>
  <w:style w:type="paragraph" w:styleId="Heading2">
    <w:name w:val="heading 2"/>
    <w:basedOn w:val="Normal"/>
    <w:next w:val="Normal"/>
    <w:link w:val="Heading2Char"/>
    <w:autoRedefine/>
    <w:uiPriority w:val="9"/>
    <w:unhideWhenUsed/>
    <w:qFormat/>
    <w:rsid w:val="00570FB0"/>
    <w:pPr>
      <w:numPr>
        <w:ilvl w:val="1"/>
        <w:numId w:val="24"/>
      </w:numPr>
      <w:spacing w:before="480"/>
      <w:outlineLvl w:val="1"/>
    </w:pPr>
    <w:rPr>
      <w:rFonts w:ascii="Calibri" w:hAnsi="Calibri" w:cs="Times New Roman (Headings CS)"/>
      <w:color w:val="174B7D"/>
      <w:sz w:val="24"/>
    </w:rPr>
  </w:style>
  <w:style w:type="paragraph" w:styleId="Heading3">
    <w:name w:val="heading 3"/>
    <w:basedOn w:val="Normal"/>
    <w:next w:val="Normal"/>
    <w:link w:val="Heading3Char"/>
    <w:autoRedefine/>
    <w:uiPriority w:val="9"/>
    <w:unhideWhenUsed/>
    <w:qFormat/>
    <w:rsid w:val="00570FB0"/>
    <w:pPr>
      <w:keepNext/>
      <w:keepLines/>
      <w:spacing w:before="360" w:after="60"/>
      <w:contextualSpacing/>
      <w:outlineLvl w:val="2"/>
    </w:pPr>
    <w:rPr>
      <w:rFonts w:eastAsiaTheme="majorEastAsia" w:cstheme="majorBidi"/>
      <w:i/>
      <w:iCs/>
      <w:color w:val="5DA1D2"/>
      <w:sz w:val="22"/>
    </w:rPr>
  </w:style>
  <w:style w:type="paragraph" w:styleId="Heading4">
    <w:name w:val="heading 4"/>
    <w:basedOn w:val="Normal"/>
    <w:next w:val="Normal"/>
    <w:link w:val="Heading4Char"/>
    <w:autoRedefine/>
    <w:uiPriority w:val="9"/>
    <w:unhideWhenUsed/>
    <w:qFormat/>
    <w:rsid w:val="0011623A"/>
    <w:pPr>
      <w:keepNext/>
      <w:keepLines/>
      <w:spacing w:before="40"/>
      <w:outlineLvl w:val="3"/>
    </w:pPr>
    <w:rPr>
      <w:rFonts w:cstheme="majorBidi"/>
      <w:i/>
      <w:iCs/>
      <w:color w:val="174B7D"/>
    </w:rPr>
  </w:style>
  <w:style w:type="paragraph" w:styleId="Heading5">
    <w:name w:val="heading 5"/>
    <w:basedOn w:val="Normal"/>
    <w:next w:val="Normal"/>
    <w:link w:val="Heading5Char"/>
    <w:uiPriority w:val="9"/>
    <w:unhideWhenUsed/>
    <w:qFormat/>
    <w:rsid w:val="00EE691B"/>
    <w:pPr>
      <w:keepNext/>
      <w:keepLines/>
      <w:numPr>
        <w:ilvl w:val="4"/>
        <w:numId w:val="24"/>
      </w:numPr>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07F"/>
    <w:rPr>
      <w:rFonts w:ascii="London Tube" w:eastAsiaTheme="majorEastAsia" w:hAnsi="London Tube" w:cs="Times New Roman (Headings CS)"/>
      <w:smallCaps/>
      <w:color w:val="174B7D"/>
      <w:sz w:val="36"/>
      <w:szCs w:val="32"/>
    </w:rPr>
  </w:style>
  <w:style w:type="character" w:customStyle="1" w:styleId="Heading2Char">
    <w:name w:val="Heading 2 Char"/>
    <w:basedOn w:val="DefaultParagraphFont"/>
    <w:link w:val="Heading2"/>
    <w:uiPriority w:val="9"/>
    <w:rsid w:val="00570FB0"/>
    <w:rPr>
      <w:rFonts w:ascii="Calibri" w:hAnsi="Calibri" w:cs="Times New Roman (Headings CS)"/>
      <w:color w:val="174B7D"/>
      <w:sz w:val="24"/>
    </w:rPr>
  </w:style>
  <w:style w:type="character" w:customStyle="1" w:styleId="Heading3Char">
    <w:name w:val="Heading 3 Char"/>
    <w:basedOn w:val="DefaultParagraphFont"/>
    <w:link w:val="Heading3"/>
    <w:uiPriority w:val="9"/>
    <w:rsid w:val="00570FB0"/>
    <w:rPr>
      <w:rFonts w:ascii="Calibri Light" w:eastAsiaTheme="majorEastAsia" w:hAnsi="Calibri Light" w:cstheme="majorBidi"/>
      <w:i/>
      <w:iCs/>
      <w:color w:val="5DA1D2"/>
      <w:sz w:val="22"/>
    </w:rPr>
  </w:style>
  <w:style w:type="paragraph" w:styleId="Title">
    <w:name w:val="Title"/>
    <w:basedOn w:val="Normal"/>
    <w:next w:val="Normal"/>
    <w:link w:val="TitleChar"/>
    <w:autoRedefine/>
    <w:uiPriority w:val="10"/>
    <w:qFormat/>
    <w:rsid w:val="00630DD1"/>
    <w:pPr>
      <w:keepNext/>
      <w:keepLines/>
      <w:pageBreakBefore/>
      <w:pBdr>
        <w:bottom w:val="single" w:sz="4" w:space="1" w:color="auto"/>
      </w:pBdr>
      <w:spacing w:line="240" w:lineRule="auto"/>
      <w:contextualSpacing/>
      <w:jc w:val="left"/>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630DD1"/>
    <w:rPr>
      <w:rFonts w:asciiTheme="majorHAnsi" w:eastAsiaTheme="majorEastAsia" w:hAnsiTheme="majorHAnsi" w:cstheme="majorBidi"/>
      <w:color w:val="auto"/>
      <w:spacing w:val="-10"/>
      <w:kern w:val="28"/>
      <w:sz w:val="40"/>
      <w:szCs w:val="40"/>
    </w:rPr>
  </w:style>
  <w:style w:type="paragraph" w:styleId="ListParagraph">
    <w:name w:val="List Paragraph"/>
    <w:basedOn w:val="Normal"/>
    <w:autoRedefine/>
    <w:uiPriority w:val="34"/>
    <w:qFormat/>
    <w:rsid w:val="00627C0C"/>
    <w:pPr>
      <w:keepNext/>
      <w:keepLines/>
      <w:numPr>
        <w:numId w:val="37"/>
      </w:numPr>
      <w:contextualSpacing/>
    </w:pPr>
    <w:rPr>
      <w:rFonts w:cstheme="minorBidi"/>
    </w:rPr>
  </w:style>
  <w:style w:type="paragraph" w:styleId="NoSpacing">
    <w:name w:val="No Spacing"/>
    <w:basedOn w:val="Normal"/>
    <w:autoRedefine/>
    <w:uiPriority w:val="1"/>
    <w:qFormat/>
    <w:rsid w:val="00EF22C8"/>
    <w:pPr>
      <w:spacing w:after="0" w:line="240" w:lineRule="auto"/>
      <w:contextualSpacing/>
      <w:jc w:val="left"/>
    </w:pPr>
    <w:rPr>
      <w:rFonts w:cs="Calibri"/>
      <w:bCs/>
      <w:color w:val="174B7D"/>
      <w:szCs w:val="22"/>
    </w:rPr>
  </w:style>
  <w:style w:type="paragraph" w:styleId="TOC1">
    <w:name w:val="toc 1"/>
    <w:basedOn w:val="Normal"/>
    <w:next w:val="Normal"/>
    <w:autoRedefine/>
    <w:uiPriority w:val="39"/>
    <w:unhideWhenUsed/>
    <w:rsid w:val="0026007F"/>
    <w:pPr>
      <w:tabs>
        <w:tab w:val="left" w:pos="480"/>
        <w:tab w:val="right" w:leader="dot" w:pos="9015"/>
      </w:tabs>
      <w:spacing w:before="240" w:line="480" w:lineRule="auto"/>
    </w:pPr>
    <w:rPr>
      <w:rFonts w:cs="Calibri (Body)"/>
      <w:bCs/>
      <w:noProof/>
      <w:sz w:val="24"/>
    </w:rPr>
  </w:style>
  <w:style w:type="paragraph" w:styleId="TOCHeading">
    <w:name w:val="TOC Heading"/>
    <w:basedOn w:val="Normal"/>
    <w:next w:val="Normal"/>
    <w:autoRedefine/>
    <w:uiPriority w:val="39"/>
    <w:unhideWhenUsed/>
    <w:qFormat/>
    <w:rsid w:val="0026007F"/>
    <w:pPr>
      <w:pBdr>
        <w:bottom w:val="single" w:sz="4" w:space="1" w:color="auto"/>
      </w:pBdr>
      <w:spacing w:before="480"/>
    </w:pPr>
    <w:rPr>
      <w:bCs/>
      <w:color w:val="2F5496" w:themeColor="accent1" w:themeShade="BF"/>
      <w:sz w:val="32"/>
      <w:szCs w:val="24"/>
      <w:lang w:val="en-US"/>
    </w:rPr>
  </w:style>
  <w:style w:type="character" w:customStyle="1" w:styleId="Heading4Char">
    <w:name w:val="Heading 4 Char"/>
    <w:basedOn w:val="DefaultParagraphFont"/>
    <w:link w:val="Heading4"/>
    <w:uiPriority w:val="9"/>
    <w:rsid w:val="0011623A"/>
    <w:rPr>
      <w:rFonts w:ascii="Calibri Light" w:hAnsi="Calibri Light" w:cstheme="majorBidi"/>
      <w:i/>
      <w:iCs/>
      <w:color w:val="174B7D"/>
    </w:rPr>
  </w:style>
  <w:style w:type="character" w:customStyle="1" w:styleId="Heading5Char">
    <w:name w:val="Heading 5 Char"/>
    <w:basedOn w:val="DefaultParagraphFont"/>
    <w:link w:val="Heading5"/>
    <w:uiPriority w:val="9"/>
    <w:rsid w:val="004A5BB5"/>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2941CD"/>
    <w:pPr>
      <w:spacing w:before="100" w:beforeAutospacing="1" w:after="100" w:afterAutospacing="1" w:line="240" w:lineRule="auto"/>
      <w:jc w:val="left"/>
    </w:pPr>
    <w:rPr>
      <w:rFonts w:ascii="Times New Roman" w:hAnsi="Times New Roman" w:cs="Times New Roman"/>
      <w:sz w:val="24"/>
      <w:szCs w:val="24"/>
      <w:lang w:eastAsia="en-GB"/>
    </w:rPr>
  </w:style>
  <w:style w:type="character" w:styleId="Hyperlink">
    <w:name w:val="Hyperlink"/>
    <w:basedOn w:val="DefaultParagraphFont"/>
    <w:uiPriority w:val="99"/>
    <w:unhideWhenUsed/>
    <w:rsid w:val="002941CD"/>
    <w:rPr>
      <w:color w:val="0563C1" w:themeColor="hyperlink"/>
      <w:u w:val="single"/>
    </w:rPr>
  </w:style>
  <w:style w:type="paragraph" w:styleId="Bibliography">
    <w:name w:val="Bibliography"/>
    <w:basedOn w:val="Normal"/>
    <w:next w:val="Normal"/>
    <w:uiPriority w:val="37"/>
    <w:unhideWhenUsed/>
    <w:rsid w:val="002941CD"/>
    <w:pPr>
      <w:tabs>
        <w:tab w:val="left" w:pos="380"/>
      </w:tabs>
      <w:spacing w:after="240" w:line="240" w:lineRule="auto"/>
      <w:ind w:left="384" w:hanging="384"/>
    </w:pPr>
  </w:style>
  <w:style w:type="character" w:styleId="FollowedHyperlink">
    <w:name w:val="FollowedHyperlink"/>
    <w:basedOn w:val="DefaultParagraphFont"/>
    <w:uiPriority w:val="99"/>
    <w:semiHidden/>
    <w:unhideWhenUsed/>
    <w:rsid w:val="0026007F"/>
    <w:rPr>
      <w:color w:val="954F72" w:themeColor="followedHyperlink"/>
      <w:u w:val="single"/>
    </w:rPr>
  </w:style>
  <w:style w:type="paragraph" w:styleId="BalloonText">
    <w:name w:val="Balloon Text"/>
    <w:basedOn w:val="Normal"/>
    <w:link w:val="BalloonTextChar"/>
    <w:uiPriority w:val="99"/>
    <w:semiHidden/>
    <w:unhideWhenUsed/>
    <w:rsid w:val="002600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07F"/>
    <w:rPr>
      <w:rFonts w:ascii="Times New Roman" w:hAnsi="Times New Roman"/>
      <w:color w:val="auto"/>
      <w:sz w:val="18"/>
      <w:szCs w:val="18"/>
    </w:rPr>
  </w:style>
  <w:style w:type="character" w:styleId="Strong">
    <w:name w:val="Strong"/>
    <w:basedOn w:val="DefaultParagraphFont"/>
    <w:uiPriority w:val="22"/>
    <w:qFormat/>
    <w:rsid w:val="0026007F"/>
    <w:rPr>
      <w:b/>
      <w:bCs/>
    </w:rPr>
  </w:style>
  <w:style w:type="table" w:customStyle="1" w:styleId="TableGrid1">
    <w:name w:val="Table Grid1"/>
    <w:basedOn w:val="TableNormal"/>
    <w:next w:val="TableGrid"/>
    <w:uiPriority w:val="39"/>
    <w:rsid w:val="002600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007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rsid w:val="00260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07F"/>
    <w:rPr>
      <w:rFonts w:ascii="Calibri Light" w:hAnsi="Calibri Light" w:cs="Calibri Light"/>
      <w:color w:val="auto"/>
    </w:rPr>
  </w:style>
  <w:style w:type="paragraph" w:styleId="Footer">
    <w:name w:val="footer"/>
    <w:basedOn w:val="Normal"/>
    <w:link w:val="FooterChar"/>
    <w:uiPriority w:val="99"/>
    <w:unhideWhenUsed/>
    <w:rsid w:val="00260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07F"/>
    <w:rPr>
      <w:rFonts w:ascii="Calibri Light" w:hAnsi="Calibri Light" w:cs="Calibri Light"/>
      <w:color w:val="auto"/>
    </w:rPr>
  </w:style>
  <w:style w:type="character" w:styleId="UnresolvedMention">
    <w:name w:val="Unresolved Mention"/>
    <w:basedOn w:val="DefaultParagraphFont"/>
    <w:uiPriority w:val="99"/>
    <w:rsid w:val="0026007F"/>
    <w:rPr>
      <w:color w:val="605E5C"/>
      <w:shd w:val="clear" w:color="auto" w:fill="E1DFDD"/>
    </w:rPr>
  </w:style>
  <w:style w:type="paragraph" w:styleId="TOC2">
    <w:name w:val="toc 2"/>
    <w:basedOn w:val="Normal"/>
    <w:next w:val="Normal"/>
    <w:autoRedefine/>
    <w:uiPriority w:val="39"/>
    <w:unhideWhenUsed/>
    <w:rsid w:val="0026007F"/>
    <w:rPr>
      <w:rFonts w:cstheme="minorHAnsi"/>
      <w:b/>
      <w:bCs/>
      <w:smallCaps/>
    </w:rPr>
  </w:style>
  <w:style w:type="paragraph" w:styleId="TOC3">
    <w:name w:val="toc 3"/>
    <w:basedOn w:val="Normal"/>
    <w:next w:val="Normal"/>
    <w:autoRedefine/>
    <w:uiPriority w:val="39"/>
    <w:unhideWhenUsed/>
    <w:rsid w:val="0026007F"/>
    <w:rPr>
      <w:rFonts w:cstheme="minorHAnsi"/>
      <w:smallCaps/>
    </w:rPr>
  </w:style>
  <w:style w:type="paragraph" w:styleId="TOC4">
    <w:name w:val="toc 4"/>
    <w:basedOn w:val="Normal"/>
    <w:next w:val="Normal"/>
    <w:autoRedefine/>
    <w:uiPriority w:val="39"/>
    <w:unhideWhenUsed/>
    <w:rsid w:val="0026007F"/>
    <w:rPr>
      <w:rFonts w:cstheme="minorHAnsi"/>
    </w:rPr>
  </w:style>
  <w:style w:type="paragraph" w:styleId="TOC5">
    <w:name w:val="toc 5"/>
    <w:basedOn w:val="Normal"/>
    <w:next w:val="Normal"/>
    <w:autoRedefine/>
    <w:uiPriority w:val="39"/>
    <w:unhideWhenUsed/>
    <w:rsid w:val="0026007F"/>
    <w:rPr>
      <w:rFonts w:cstheme="minorHAnsi"/>
    </w:rPr>
  </w:style>
  <w:style w:type="paragraph" w:styleId="TOC6">
    <w:name w:val="toc 6"/>
    <w:basedOn w:val="Normal"/>
    <w:next w:val="Normal"/>
    <w:autoRedefine/>
    <w:uiPriority w:val="39"/>
    <w:unhideWhenUsed/>
    <w:rsid w:val="0026007F"/>
    <w:rPr>
      <w:rFonts w:cstheme="minorHAnsi"/>
    </w:rPr>
  </w:style>
  <w:style w:type="paragraph" w:styleId="TOC7">
    <w:name w:val="toc 7"/>
    <w:basedOn w:val="Normal"/>
    <w:next w:val="Normal"/>
    <w:autoRedefine/>
    <w:uiPriority w:val="39"/>
    <w:unhideWhenUsed/>
    <w:rsid w:val="0026007F"/>
    <w:rPr>
      <w:rFonts w:cstheme="minorHAnsi"/>
    </w:rPr>
  </w:style>
  <w:style w:type="paragraph" w:styleId="TOC8">
    <w:name w:val="toc 8"/>
    <w:basedOn w:val="Normal"/>
    <w:next w:val="Normal"/>
    <w:autoRedefine/>
    <w:uiPriority w:val="39"/>
    <w:unhideWhenUsed/>
    <w:rsid w:val="0026007F"/>
    <w:rPr>
      <w:rFonts w:cstheme="minorHAnsi"/>
    </w:rPr>
  </w:style>
  <w:style w:type="paragraph" w:styleId="TOC9">
    <w:name w:val="toc 9"/>
    <w:basedOn w:val="Normal"/>
    <w:next w:val="Normal"/>
    <w:autoRedefine/>
    <w:uiPriority w:val="39"/>
    <w:unhideWhenUsed/>
    <w:rsid w:val="0026007F"/>
    <w:rPr>
      <w:rFonts w:cstheme="minorHAnsi"/>
    </w:rPr>
  </w:style>
  <w:style w:type="paragraph" w:styleId="Quote">
    <w:name w:val="Quote"/>
    <w:basedOn w:val="Normal"/>
    <w:next w:val="Normal"/>
    <w:link w:val="QuoteChar"/>
    <w:uiPriority w:val="29"/>
    <w:qFormat/>
    <w:rsid w:val="00627C0C"/>
    <w:pPr>
      <w:spacing w:before="200" w:after="160"/>
      <w:ind w:left="864" w:right="864"/>
      <w:jc w:val="center"/>
    </w:pPr>
    <w:rPr>
      <w:b/>
      <w:bCs/>
      <w:i/>
      <w:iCs/>
      <w:color w:val="5DA1D2"/>
    </w:rPr>
  </w:style>
  <w:style w:type="character" w:customStyle="1" w:styleId="QuoteChar">
    <w:name w:val="Quote Char"/>
    <w:basedOn w:val="DefaultParagraphFont"/>
    <w:link w:val="Quote"/>
    <w:uiPriority w:val="29"/>
    <w:rsid w:val="00627C0C"/>
    <w:rPr>
      <w:rFonts w:ascii="Calibri Light" w:hAnsi="Calibri Light" w:cs="Calibri Light"/>
      <w:b/>
      <w:bCs/>
      <w:i/>
      <w:iCs/>
      <w:color w:val="5DA1D2"/>
    </w:rPr>
  </w:style>
  <w:style w:type="paragraph" w:styleId="IntenseQuote">
    <w:name w:val="Intense Quote"/>
    <w:basedOn w:val="Normal"/>
    <w:next w:val="Normal"/>
    <w:link w:val="IntenseQuoteChar"/>
    <w:uiPriority w:val="30"/>
    <w:qFormat/>
    <w:rsid w:val="00F7018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7018E"/>
    <w:rPr>
      <w:rFonts w:ascii="Calibri Light" w:hAnsi="Calibri Light" w:cs="Calibri Light"/>
      <w:i/>
      <w:iCs/>
      <w:color w:val="4472C4" w:themeColor="accent1"/>
    </w:rPr>
  </w:style>
  <w:style w:type="character" w:styleId="PageNumber">
    <w:name w:val="page number"/>
    <w:basedOn w:val="DefaultParagraphFont"/>
    <w:uiPriority w:val="99"/>
    <w:semiHidden/>
    <w:unhideWhenUsed/>
    <w:rsid w:val="007A2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75877">
      <w:bodyDiv w:val="1"/>
      <w:marLeft w:val="0"/>
      <w:marRight w:val="0"/>
      <w:marTop w:val="0"/>
      <w:marBottom w:val="0"/>
      <w:divBdr>
        <w:top w:val="none" w:sz="0" w:space="0" w:color="auto"/>
        <w:left w:val="none" w:sz="0" w:space="0" w:color="auto"/>
        <w:bottom w:val="none" w:sz="0" w:space="0" w:color="auto"/>
        <w:right w:val="none" w:sz="0" w:space="0" w:color="auto"/>
      </w:divBdr>
    </w:div>
    <w:div w:id="200671981">
      <w:bodyDiv w:val="1"/>
      <w:marLeft w:val="0"/>
      <w:marRight w:val="0"/>
      <w:marTop w:val="0"/>
      <w:marBottom w:val="0"/>
      <w:divBdr>
        <w:top w:val="none" w:sz="0" w:space="0" w:color="auto"/>
        <w:left w:val="none" w:sz="0" w:space="0" w:color="auto"/>
        <w:bottom w:val="none" w:sz="0" w:space="0" w:color="auto"/>
        <w:right w:val="none" w:sz="0" w:space="0" w:color="auto"/>
      </w:divBdr>
    </w:div>
    <w:div w:id="201984542">
      <w:bodyDiv w:val="1"/>
      <w:marLeft w:val="0"/>
      <w:marRight w:val="0"/>
      <w:marTop w:val="0"/>
      <w:marBottom w:val="0"/>
      <w:divBdr>
        <w:top w:val="none" w:sz="0" w:space="0" w:color="auto"/>
        <w:left w:val="none" w:sz="0" w:space="0" w:color="auto"/>
        <w:bottom w:val="none" w:sz="0" w:space="0" w:color="auto"/>
        <w:right w:val="none" w:sz="0" w:space="0" w:color="auto"/>
      </w:divBdr>
    </w:div>
    <w:div w:id="540751537">
      <w:bodyDiv w:val="1"/>
      <w:marLeft w:val="0"/>
      <w:marRight w:val="0"/>
      <w:marTop w:val="0"/>
      <w:marBottom w:val="0"/>
      <w:divBdr>
        <w:top w:val="none" w:sz="0" w:space="0" w:color="auto"/>
        <w:left w:val="none" w:sz="0" w:space="0" w:color="auto"/>
        <w:bottom w:val="none" w:sz="0" w:space="0" w:color="auto"/>
        <w:right w:val="none" w:sz="0" w:space="0" w:color="auto"/>
      </w:divBdr>
    </w:div>
    <w:div w:id="657924688">
      <w:bodyDiv w:val="1"/>
      <w:marLeft w:val="0"/>
      <w:marRight w:val="0"/>
      <w:marTop w:val="0"/>
      <w:marBottom w:val="0"/>
      <w:divBdr>
        <w:top w:val="none" w:sz="0" w:space="0" w:color="auto"/>
        <w:left w:val="none" w:sz="0" w:space="0" w:color="auto"/>
        <w:bottom w:val="none" w:sz="0" w:space="0" w:color="auto"/>
        <w:right w:val="none" w:sz="0" w:space="0" w:color="auto"/>
      </w:divBdr>
      <w:divsChild>
        <w:div w:id="990405610">
          <w:marLeft w:val="0"/>
          <w:marRight w:val="0"/>
          <w:marTop w:val="0"/>
          <w:marBottom w:val="0"/>
          <w:divBdr>
            <w:top w:val="none" w:sz="0" w:space="0" w:color="auto"/>
            <w:left w:val="none" w:sz="0" w:space="0" w:color="auto"/>
            <w:bottom w:val="none" w:sz="0" w:space="0" w:color="auto"/>
            <w:right w:val="none" w:sz="0" w:space="0" w:color="auto"/>
          </w:divBdr>
          <w:divsChild>
            <w:div w:id="1150485085">
              <w:marLeft w:val="0"/>
              <w:marRight w:val="0"/>
              <w:marTop w:val="0"/>
              <w:marBottom w:val="0"/>
              <w:divBdr>
                <w:top w:val="none" w:sz="0" w:space="0" w:color="auto"/>
                <w:left w:val="none" w:sz="0" w:space="0" w:color="auto"/>
                <w:bottom w:val="none" w:sz="0" w:space="0" w:color="auto"/>
                <w:right w:val="none" w:sz="0" w:space="0" w:color="auto"/>
              </w:divBdr>
              <w:divsChild>
                <w:div w:id="10928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4848">
      <w:bodyDiv w:val="1"/>
      <w:marLeft w:val="0"/>
      <w:marRight w:val="0"/>
      <w:marTop w:val="0"/>
      <w:marBottom w:val="0"/>
      <w:divBdr>
        <w:top w:val="none" w:sz="0" w:space="0" w:color="auto"/>
        <w:left w:val="none" w:sz="0" w:space="0" w:color="auto"/>
        <w:bottom w:val="none" w:sz="0" w:space="0" w:color="auto"/>
        <w:right w:val="none" w:sz="0" w:space="0" w:color="auto"/>
      </w:divBdr>
    </w:div>
    <w:div w:id="796142550">
      <w:bodyDiv w:val="1"/>
      <w:marLeft w:val="0"/>
      <w:marRight w:val="0"/>
      <w:marTop w:val="0"/>
      <w:marBottom w:val="0"/>
      <w:divBdr>
        <w:top w:val="none" w:sz="0" w:space="0" w:color="auto"/>
        <w:left w:val="none" w:sz="0" w:space="0" w:color="auto"/>
        <w:bottom w:val="none" w:sz="0" w:space="0" w:color="auto"/>
        <w:right w:val="none" w:sz="0" w:space="0" w:color="auto"/>
      </w:divBdr>
    </w:div>
    <w:div w:id="992215807">
      <w:bodyDiv w:val="1"/>
      <w:marLeft w:val="0"/>
      <w:marRight w:val="0"/>
      <w:marTop w:val="0"/>
      <w:marBottom w:val="0"/>
      <w:divBdr>
        <w:top w:val="none" w:sz="0" w:space="0" w:color="auto"/>
        <w:left w:val="none" w:sz="0" w:space="0" w:color="auto"/>
        <w:bottom w:val="none" w:sz="0" w:space="0" w:color="auto"/>
        <w:right w:val="none" w:sz="0" w:space="0" w:color="auto"/>
      </w:divBdr>
    </w:div>
    <w:div w:id="1115440835">
      <w:bodyDiv w:val="1"/>
      <w:marLeft w:val="0"/>
      <w:marRight w:val="0"/>
      <w:marTop w:val="0"/>
      <w:marBottom w:val="0"/>
      <w:divBdr>
        <w:top w:val="none" w:sz="0" w:space="0" w:color="auto"/>
        <w:left w:val="none" w:sz="0" w:space="0" w:color="auto"/>
        <w:bottom w:val="none" w:sz="0" w:space="0" w:color="auto"/>
        <w:right w:val="none" w:sz="0" w:space="0" w:color="auto"/>
      </w:divBdr>
      <w:divsChild>
        <w:div w:id="1008826248">
          <w:marLeft w:val="0"/>
          <w:marRight w:val="0"/>
          <w:marTop w:val="0"/>
          <w:marBottom w:val="0"/>
          <w:divBdr>
            <w:top w:val="none" w:sz="0" w:space="0" w:color="auto"/>
            <w:left w:val="none" w:sz="0" w:space="0" w:color="auto"/>
            <w:bottom w:val="none" w:sz="0" w:space="0" w:color="auto"/>
            <w:right w:val="none" w:sz="0" w:space="0" w:color="auto"/>
          </w:divBdr>
          <w:divsChild>
            <w:div w:id="876309029">
              <w:marLeft w:val="0"/>
              <w:marRight w:val="0"/>
              <w:marTop w:val="0"/>
              <w:marBottom w:val="0"/>
              <w:divBdr>
                <w:top w:val="none" w:sz="0" w:space="0" w:color="auto"/>
                <w:left w:val="none" w:sz="0" w:space="0" w:color="auto"/>
                <w:bottom w:val="none" w:sz="0" w:space="0" w:color="auto"/>
                <w:right w:val="none" w:sz="0" w:space="0" w:color="auto"/>
              </w:divBdr>
              <w:divsChild>
                <w:div w:id="19134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28528">
      <w:bodyDiv w:val="1"/>
      <w:marLeft w:val="0"/>
      <w:marRight w:val="0"/>
      <w:marTop w:val="0"/>
      <w:marBottom w:val="0"/>
      <w:divBdr>
        <w:top w:val="none" w:sz="0" w:space="0" w:color="auto"/>
        <w:left w:val="none" w:sz="0" w:space="0" w:color="auto"/>
        <w:bottom w:val="none" w:sz="0" w:space="0" w:color="auto"/>
        <w:right w:val="none" w:sz="0" w:space="0" w:color="auto"/>
      </w:divBdr>
    </w:div>
    <w:div w:id="1649433824">
      <w:bodyDiv w:val="1"/>
      <w:marLeft w:val="0"/>
      <w:marRight w:val="0"/>
      <w:marTop w:val="0"/>
      <w:marBottom w:val="0"/>
      <w:divBdr>
        <w:top w:val="none" w:sz="0" w:space="0" w:color="auto"/>
        <w:left w:val="none" w:sz="0" w:space="0" w:color="auto"/>
        <w:bottom w:val="none" w:sz="0" w:space="0" w:color="auto"/>
        <w:right w:val="none" w:sz="0" w:space="0" w:color="auto"/>
      </w:divBdr>
    </w:div>
    <w:div w:id="1652709133">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sChild>
        <w:div w:id="1995794128">
          <w:marLeft w:val="0"/>
          <w:marRight w:val="0"/>
          <w:marTop w:val="0"/>
          <w:marBottom w:val="0"/>
          <w:divBdr>
            <w:top w:val="none" w:sz="0" w:space="0" w:color="auto"/>
            <w:left w:val="none" w:sz="0" w:space="0" w:color="auto"/>
            <w:bottom w:val="none" w:sz="0" w:space="0" w:color="auto"/>
            <w:right w:val="none" w:sz="0" w:space="0" w:color="auto"/>
          </w:divBdr>
          <w:divsChild>
            <w:div w:id="949093116">
              <w:marLeft w:val="0"/>
              <w:marRight w:val="0"/>
              <w:marTop w:val="0"/>
              <w:marBottom w:val="0"/>
              <w:divBdr>
                <w:top w:val="none" w:sz="0" w:space="0" w:color="auto"/>
                <w:left w:val="none" w:sz="0" w:space="0" w:color="auto"/>
                <w:bottom w:val="none" w:sz="0" w:space="0" w:color="auto"/>
                <w:right w:val="none" w:sz="0" w:space="0" w:color="auto"/>
              </w:divBdr>
              <w:divsChild>
                <w:div w:id="19408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9614">
      <w:bodyDiv w:val="1"/>
      <w:marLeft w:val="0"/>
      <w:marRight w:val="0"/>
      <w:marTop w:val="0"/>
      <w:marBottom w:val="0"/>
      <w:divBdr>
        <w:top w:val="none" w:sz="0" w:space="0" w:color="auto"/>
        <w:left w:val="none" w:sz="0" w:space="0" w:color="auto"/>
        <w:bottom w:val="none" w:sz="0" w:space="0" w:color="auto"/>
        <w:right w:val="none" w:sz="0" w:space="0" w:color="auto"/>
      </w:divBdr>
    </w:div>
    <w:div w:id="1852602464">
      <w:bodyDiv w:val="1"/>
      <w:marLeft w:val="0"/>
      <w:marRight w:val="0"/>
      <w:marTop w:val="0"/>
      <w:marBottom w:val="0"/>
      <w:divBdr>
        <w:top w:val="none" w:sz="0" w:space="0" w:color="auto"/>
        <w:left w:val="none" w:sz="0" w:space="0" w:color="auto"/>
        <w:bottom w:val="none" w:sz="0" w:space="0" w:color="auto"/>
        <w:right w:val="none" w:sz="0" w:space="0" w:color="auto"/>
      </w:divBdr>
    </w:div>
    <w:div w:id="21134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decisiontools.org.uk/re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tintegrate.co.uk/entuk2wwtt" TargetMode="External"/><Relationship Id="rId4" Type="http://schemas.openxmlformats.org/officeDocument/2006/relationships/settings" Target="settings.xml"/><Relationship Id="rId9" Type="http://schemas.openxmlformats.org/officeDocument/2006/relationships/hyperlink" Target="mailto:2wwtt@entintegrat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3E329-1805-F34A-9344-7B544411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5376</Words>
  <Characters>30649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Hardman</dc:creator>
  <cp:keywords/>
  <dc:description/>
  <cp:lastModifiedBy>John Hardman</cp:lastModifiedBy>
  <cp:revision>7</cp:revision>
  <dcterms:created xsi:type="dcterms:W3CDTF">2021-03-19T20:48:00Z</dcterms:created>
  <dcterms:modified xsi:type="dcterms:W3CDTF">2021-03-19T21:16:00Z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id="FDRjF82n"/&gt;&lt;style id="http://www.zotero.org/styles/vancouver-superscript" locale="en-GB" hasBibliography="1" bibliographyStyleHasBeenSet="1"/&gt;&lt;prefs&gt;&lt;pref name="fieldType" value="Field"/&gt;&lt;/prefs&gt;</vt:lpwstr>
  </property>
  <property fmtid="{D5CDD505-2E9C-101B-9397-08002B2CF9AE}" pid="3" name="ZOTERO_PREF_2">
    <vt:lpwstr>&lt;/data&gt;</vt:lpwstr>
  </property>
</Properties>
</file>